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правление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транспорта, дорожной инфраструктуры и благоустройства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перечня автомобильных дорог общего пользования местного значения на территории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»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308007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Белгород, ул. Шершнева, 1А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предложений: 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27.12.2024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10.01.2025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составе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Цыбульников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Андрей Сергеевич, начальник отдела-муниципальный ин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спектор отдела дорожной инфраструктуры и муниципального контроля за сохранностью автомобильных дорог управления транспорта, дорожной инфраструктуры и благоустройства комитета ЖКХ, транспорта </w:t>
              <w:br/>
              <w:t xml:space="preserve">и инженерной инфраструктуры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br/>
              <w:t xml:space="preserve">(4722) 26-44-08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21</cp:revision>
  <dcterms:created xsi:type="dcterms:W3CDTF">2021-08-25T11:05:00Z</dcterms:created>
  <dcterms:modified xsi:type="dcterms:W3CDTF">2024-12-26T06:00:31Z</dcterms:modified>
</cp:coreProperties>
</file>