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pageBreakBefore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  <w:r/>
    </w:p>
    <w:p>
      <w:pPr>
        <w:pStyle w:val="864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pStyle w:val="864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3034"/>
        </w:trPr>
        <w:tc>
          <w:tcPr>
            <w:tcBorders>
              <w:bottom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Проект постановления администрации Белгородского района </w:t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«</w:t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О проведении в 2025 году капитального ремонта общего имущества многоквартирного дома на территории муниципального района «Белгородский район» Белгородской области, собственники помеще</w:t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ний которого не приняли решение о проведении капитального ремонта общего имущества многоквартирного дома в соответствии с адресной программой проведения капитального ремонта общего имущества в многоквартирных домах в Белгородской области на 2022-2051 годы</w:t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center"/>
              <w:rPr>
                <w:rFonts w:eastAsia="Calibri"/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8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администрации Белгородского района)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8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864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8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, подготовившего данный проект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акта)</w:t>
            </w:r>
            <w:r>
              <w:rPr>
                <w:rFonts w:eastAsia="Calibri"/>
                <w:b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Проект указанного постановления подготовлен </w:t>
            </w:r>
            <w:r>
              <w:rPr>
                <w:rFonts w:eastAsia="Calibri"/>
                <w:color w:val="000000"/>
                <w:lang w:eastAsia="en-US"/>
              </w:rPr>
              <w:t xml:space="preserve">в соответствии </w:t>
            </w:r>
            <w:r>
              <w:rPr>
                <w:sz w:val="28"/>
                <w:szCs w:val="27"/>
              </w:rPr>
              <w:t xml:space="preserve">Ф</w:t>
            </w:r>
            <w:r>
              <w:rPr>
                <w:rFonts w:eastAsia="Calibri"/>
                <w:color w:val="000000"/>
                <w:lang w:eastAsia="en-US"/>
              </w:rPr>
              <w:t xml:space="preserve">едеральным законом от 6 октября 2003 г. № 131-ФЗ «Об общих принципах организации местного самоуправления в Российской </w:t>
            </w:r>
            <w:r>
              <w:rPr>
                <w:rFonts w:eastAsia="Calibri"/>
                <w:color w:val="000000"/>
                <w:lang w:eastAsia="en-US"/>
              </w:rPr>
              <w:t xml:space="preserve">Федерации», статьей 189 Жилищного кодекса </w:t>
            </w:r>
            <w:r>
              <w:rPr>
                <w:rFonts w:eastAsia="Calibri"/>
                <w:color w:val="000000"/>
                <w:lang w:eastAsia="en-US"/>
              </w:rPr>
              <w:t xml:space="preserve">Российской Федерации, </w:t>
            </w:r>
            <w:r>
              <w:rPr>
                <w:rFonts w:eastAsia="Calibri"/>
                <w:color w:val="000000"/>
                <w:lang w:eastAsia="en-US"/>
              </w:rPr>
              <w:t xml:space="preserve">Приказом Министерства строительства и жилищно-коммунального хозяйства Российской Федерации от 7 февраля 2024 г. № 79/пр </w:t>
            </w:r>
            <w:r>
              <w:rPr>
                <w:rFonts w:eastAsia="Calibri"/>
                <w:color w:val="000000"/>
                <w:lang w:eastAsia="en-US"/>
              </w:rPr>
              <w:t xml:space="preserve">«Об установлении состава, сроков и периодичности размещения информации поставщиками информации в государственной информационной системе жилищно-к</w:t>
            </w:r>
            <w:r>
              <w:rPr>
                <w:rFonts w:eastAsia="Calibri"/>
                <w:color w:val="000000"/>
                <w:lang w:eastAsia="en-US"/>
              </w:rPr>
              <w:t xml:space="preserve">оммунального хозяйства, обязательное размещение которой предусмотрено Федеральным законом от 21 июля 2014 г. № 209-ФЗ «О государственной информационной системе жилищно-коммунально</w:t>
            </w:r>
            <w:r>
              <w:rPr>
                <w:rFonts w:eastAsia="Calibri"/>
                <w:color w:val="000000"/>
                <w:lang w:eastAsia="en-US"/>
              </w:rPr>
              <w:t xml:space="preserve">го хозяйства»</w:t>
            </w:r>
            <w:r>
              <w:rPr>
                <w:rFonts w:eastAsia="Calibri"/>
                <w:color w:val="000000"/>
                <w:lang w:eastAsia="en-US"/>
              </w:rPr>
              <w:t xml:space="preserve">, постановлением Правительства Белгородской области от 19 августа 2013 г. № 345-пп «Об утверждении адресной программы проведения капитального ремонта общего имущества в многоквартирных домах в Белгородской области на 2022-2051 годы» (далее </w:t>
            </w:r>
            <w:r>
              <w:rPr>
                <w:rFonts w:eastAsia="Calibri"/>
                <w:color w:val="000000"/>
                <w:lang w:eastAsia="en-US"/>
              </w:rPr>
              <w:t xml:space="preserve">–</w:t>
            </w:r>
            <w:r>
              <w:rPr>
                <w:rFonts w:eastAsia="Calibri"/>
                <w:color w:val="000000"/>
                <w:lang w:eastAsia="en-US"/>
              </w:rPr>
              <w:t xml:space="preserve"> адресная программа), постановлением Правительства Белгородской области от 10 июня 2024 г. № 246-пп «Об установлении р</w:t>
            </w:r>
            <w:r>
              <w:rPr>
                <w:rFonts w:eastAsia="Calibri"/>
                <w:color w:val="000000"/>
                <w:lang w:eastAsia="en-US"/>
              </w:rPr>
              <w:t xml:space="preserve">азмера предельной стоимости услуг и (или) работ по капитально</w:t>
            </w:r>
            <w:r>
              <w:rPr>
                <w:rFonts w:eastAsia="Calibri"/>
                <w:color w:val="000000"/>
                <w:lang w:eastAsia="en-US"/>
              </w:rPr>
              <w:t xml:space="preserve">му ремонту общего имущества многоквартирных домов на территории Белгородской области, оказание и (или) выполнение которых финансируется исходя из минимального размера взноса на капитальный ремонт в 2025 году», распоряжением администрации Белгородского рай</w:t>
            </w:r>
            <w:r>
              <w:rPr>
                <w:rFonts w:eastAsia="Calibri"/>
                <w:color w:val="000000"/>
                <w:lang w:eastAsia="en-US"/>
              </w:rPr>
              <w:t xml:space="preserve">он</w:t>
            </w:r>
            <w:r>
              <w:rPr>
                <w:rFonts w:eastAsia="Calibri"/>
                <w:color w:val="000000"/>
                <w:lang w:eastAsia="en-US"/>
              </w:rPr>
              <w:t xml:space="preserve">а </w:t>
            </w:r>
            <w:r>
              <w:rPr>
                <w:rFonts w:eastAsia="Calibri"/>
                <w:color w:val="000000"/>
                <w:lang w:eastAsia="en-US"/>
              </w:rPr>
              <w:t xml:space="preserve">Белгородской области от 10 апреля 2024 г. № 1169 «Об утверждении плана реализации адресной программы проведения капитального ремонта общего имущества в многоквартирных домах  на территории муниципального района «Белгородский район» Белгородской области на</w:t>
            </w:r>
            <w:r>
              <w:rPr>
                <w:rFonts w:eastAsia="Calibri"/>
                <w:color w:val="000000"/>
                <w:lang w:eastAsia="en-US"/>
              </w:rPr>
              <w:t xml:space="preserve"> период 2025-2027 годы»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Целью настоящего постановления является 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п</w:t>
            </w:r>
            <w:r>
              <w:rPr>
                <w:rFonts w:eastAsia="Calibri"/>
                <w:color w:val="000000"/>
                <w:lang w:eastAsia="en-US"/>
              </w:rPr>
              <w:t xml:space="preserve">рове</w:t>
            </w:r>
            <w:r>
              <w:rPr>
                <w:rFonts w:eastAsia="Calibri"/>
                <w:color w:val="000000"/>
                <w:lang w:eastAsia="en-US"/>
              </w:rPr>
              <w:t xml:space="preserve">дение</w:t>
            </w:r>
            <w:r>
              <w:rPr>
                <w:rFonts w:eastAsia="Calibri"/>
                <w:color w:val="000000"/>
                <w:lang w:eastAsia="en-US"/>
              </w:rPr>
              <w:t xml:space="preserve"> капитальн</w:t>
            </w:r>
            <w:r>
              <w:rPr>
                <w:rFonts w:eastAsia="Calibri"/>
                <w:color w:val="000000"/>
                <w:lang w:eastAsia="en-US"/>
              </w:rPr>
              <w:t xml:space="preserve">ого</w:t>
            </w:r>
            <w:r>
              <w:rPr>
                <w:rFonts w:eastAsia="Calibri"/>
                <w:color w:val="000000"/>
                <w:lang w:eastAsia="en-US"/>
              </w:rPr>
              <w:t xml:space="preserve"> ремонт</w:t>
            </w:r>
            <w:r>
              <w:rPr>
                <w:rFonts w:eastAsia="Calibri"/>
                <w:color w:val="000000"/>
                <w:lang w:eastAsia="en-US"/>
              </w:rPr>
              <w:t xml:space="preserve">а</w:t>
            </w:r>
            <w:r>
              <w:rPr>
                <w:rFonts w:eastAsia="Calibri"/>
                <w:color w:val="000000"/>
                <w:lang w:eastAsia="en-US"/>
              </w:rPr>
              <w:t xml:space="preserve"> общего имущества в многоквартирных домах, собственники помещений в которых не приняли решение о проведении капитального ремонта общего имущества в соответствии </w:t>
            </w:r>
            <w:r>
              <w:rPr>
                <w:rFonts w:eastAsia="Calibri"/>
                <w:color w:val="000000"/>
                <w:lang w:eastAsia="en-US"/>
              </w:rPr>
              <w:t xml:space="preserve">                     </w:t>
            </w:r>
            <w:r>
              <w:rPr>
                <w:rFonts w:eastAsia="Calibri"/>
                <w:color w:val="000000"/>
                <w:lang w:eastAsia="en-US"/>
              </w:rPr>
              <w:t xml:space="preserve">с адресной программой, за счет средств фонда капитального ремонта в пределах суммы, сформированной исходя из минимального размера взноса на капитальный ремонт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/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 окажет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положениях </w:t>
            </w:r>
            <w:r>
              <w:rPr>
                <w:rFonts w:eastAsia="Calibri"/>
                <w:color w:val="000000"/>
                <w:lang w:eastAsia="en-US"/>
              </w:rPr>
              <w:t xml:space="preserve">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</w:t>
            </w:r>
            <w:r>
              <w:rPr>
                <w:rFonts w:eastAsia="Calibri"/>
                <w:color w:val="000000"/>
                <w:lang w:eastAsia="en-US"/>
              </w:rPr>
              <w:t xml:space="preserve">                  </w:t>
            </w:r>
            <w:r>
              <w:rPr>
                <w:rFonts w:eastAsia="Calibri"/>
                <w:color w:val="000000"/>
                <w:lang w:eastAsia="en-US"/>
              </w:rPr>
              <w:t xml:space="preserve">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отсутствуют</w:t>
            </w:r>
            <w:r>
              <w:rPr>
                <w:rFonts w:eastAsia="Calibri"/>
              </w:rPr>
            </w:r>
            <w:r/>
          </w:p>
        </w:tc>
      </w:tr>
    </w:tbl>
    <w:p>
      <w:pPr>
        <w:pStyle w:val="864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64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64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6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6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64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6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6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64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64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4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1800" w:hanging="180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4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64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64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4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4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4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4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4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4"/>
        <w:ind w:left="4016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4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7800" w:hanging="216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1440" w:hanging="144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64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4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3296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64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270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4320" w:hanging="1440"/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216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4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4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4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4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4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4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4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4"/>
        <w:ind w:left="3296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64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4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4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4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4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4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4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4"/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4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64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4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4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4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4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4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4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4"/>
        <w:ind w:left="7256" w:hanging="216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64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4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4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4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4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4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4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4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4"/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4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971" w:hanging="180"/>
      </w:p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64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4"/>
        <w:ind w:left="6480" w:hanging="180"/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64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4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4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4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4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4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4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4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4"/>
        <w:ind w:left="2160" w:hanging="2160"/>
      </w:p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5"/>
  </w:num>
  <w:num w:numId="5">
    <w:abstractNumId w:val="12"/>
  </w:num>
  <w:num w:numId="6">
    <w:abstractNumId w:val="3"/>
  </w:num>
  <w:num w:numId="7">
    <w:abstractNumId w:val="16"/>
  </w:num>
  <w:num w:numId="8">
    <w:abstractNumId w:val="23"/>
  </w:num>
  <w:num w:numId="9">
    <w:abstractNumId w:val="14"/>
  </w:num>
  <w:num w:numId="10">
    <w:abstractNumId w:val="13"/>
  </w:num>
  <w:num w:numId="11">
    <w:abstractNumId w:val="24"/>
  </w:num>
  <w:num w:numId="12">
    <w:abstractNumId w:val="19"/>
  </w:num>
  <w:num w:numId="13">
    <w:abstractNumId w:val="10"/>
  </w:num>
  <w:num w:numId="14">
    <w:abstractNumId w:val="7"/>
  </w:num>
  <w:num w:numId="15">
    <w:abstractNumId w:val="15"/>
  </w:num>
  <w:num w:numId="16">
    <w:abstractNumId w:val="17"/>
  </w:num>
  <w:num w:numId="17">
    <w:abstractNumId w:val="6"/>
  </w:num>
  <w:num w:numId="18">
    <w:abstractNumId w:val="22"/>
  </w:num>
  <w:num w:numId="19">
    <w:abstractNumId w:val="8"/>
  </w:num>
  <w:num w:numId="20">
    <w:abstractNumId w:val="0"/>
  </w:num>
  <w:num w:numId="21">
    <w:abstractNumId w:val="21"/>
  </w:num>
  <w:num w:numId="22">
    <w:abstractNumId w:val="1"/>
  </w:num>
  <w:num w:numId="23">
    <w:abstractNumId w:val="9"/>
  </w:num>
  <w:num w:numId="24">
    <w:abstractNumId w:val="2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sz w:val="24"/>
      <w:szCs w:val="24"/>
      <w:lang w:val="ru-RU" w:eastAsia="ru-RU" w:bidi="ar-SA"/>
    </w:rPr>
  </w:style>
  <w:style w:type="paragraph" w:styleId="865">
    <w:name w:val="Заголовок 1"/>
    <w:basedOn w:val="864"/>
    <w:next w:val="864"/>
    <w:link w:val="874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66">
    <w:name w:val="Заголовок 3"/>
    <w:basedOn w:val="864"/>
    <w:next w:val="864"/>
    <w:link w:val="864"/>
    <w:qFormat/>
    <w:pPr>
      <w:keepNext/>
      <w:outlineLvl w:val="2"/>
    </w:pPr>
    <w:rPr>
      <w:sz w:val="28"/>
    </w:rPr>
  </w:style>
  <w:style w:type="paragraph" w:styleId="867">
    <w:name w:val="Заголовок 4"/>
    <w:basedOn w:val="864"/>
    <w:next w:val="864"/>
    <w:link w:val="864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68">
    <w:name w:val="Основной шрифт абзаца"/>
    <w:next w:val="868"/>
    <w:link w:val="864"/>
    <w:semiHidden/>
  </w:style>
  <w:style w:type="table" w:styleId="869">
    <w:name w:val="Обычная таблица"/>
    <w:next w:val="869"/>
    <w:link w:val="864"/>
    <w:semiHidden/>
    <w:tblPr/>
  </w:style>
  <w:style w:type="numbering" w:styleId="870">
    <w:name w:val="Нет списка"/>
    <w:next w:val="870"/>
    <w:link w:val="864"/>
    <w:semiHidden/>
  </w:style>
  <w:style w:type="paragraph" w:styleId="871">
    <w:name w:val="Основной текст 2"/>
    <w:basedOn w:val="864"/>
    <w:next w:val="871"/>
    <w:link w:val="864"/>
    <w:pPr>
      <w:jc w:val="both"/>
    </w:pPr>
    <w:rPr>
      <w:sz w:val="28"/>
    </w:rPr>
  </w:style>
  <w:style w:type="paragraph" w:styleId="872">
    <w:name w:val="Знак"/>
    <w:basedOn w:val="864"/>
    <w:next w:val="872"/>
    <w:link w:val="864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73">
    <w:name w:val="Сетка таблицы"/>
    <w:basedOn w:val="869"/>
    <w:next w:val="873"/>
    <w:link w:val="864"/>
    <w:uiPriority w:val="59"/>
    <w:tblPr/>
  </w:style>
  <w:style w:type="character" w:styleId="874">
    <w:name w:val="Заголовок 1 Знак"/>
    <w:next w:val="874"/>
    <w:link w:val="865"/>
    <w:rPr>
      <w:rFonts w:ascii="Cambria" w:hAnsi="Cambria" w:eastAsia="Times New Roman" w:cs="Times New Roman"/>
      <w:b/>
      <w:bCs/>
      <w:sz w:val="32"/>
      <w:szCs w:val="32"/>
    </w:rPr>
  </w:style>
  <w:style w:type="paragraph" w:styleId="875">
    <w:name w:val="Текст выноски"/>
    <w:basedOn w:val="864"/>
    <w:next w:val="875"/>
    <w:link w:val="876"/>
    <w:uiPriority w:val="99"/>
    <w:rPr>
      <w:rFonts w:ascii="Tahoma" w:hAnsi="Tahoma"/>
      <w:sz w:val="16"/>
      <w:szCs w:val="16"/>
      <w:lang w:val="en-US" w:eastAsia="en-US"/>
    </w:rPr>
  </w:style>
  <w:style w:type="character" w:styleId="876">
    <w:name w:val="Текст выноски Знак"/>
    <w:next w:val="876"/>
    <w:link w:val="875"/>
    <w:uiPriority w:val="99"/>
    <w:rPr>
      <w:rFonts w:ascii="Tahoma" w:hAnsi="Tahoma" w:cs="Tahoma"/>
      <w:sz w:val="16"/>
      <w:szCs w:val="16"/>
    </w:rPr>
  </w:style>
  <w:style w:type="paragraph" w:styleId="877">
    <w:name w:val="Верхний колонтитул"/>
    <w:basedOn w:val="864"/>
    <w:next w:val="877"/>
    <w:link w:val="87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8">
    <w:name w:val="Верхний колонтитул Знак"/>
    <w:next w:val="878"/>
    <w:link w:val="877"/>
    <w:uiPriority w:val="99"/>
    <w:rPr>
      <w:sz w:val="24"/>
      <w:szCs w:val="24"/>
    </w:rPr>
  </w:style>
  <w:style w:type="paragraph" w:styleId="879">
    <w:name w:val="Нижний колонтитул"/>
    <w:basedOn w:val="864"/>
    <w:next w:val="879"/>
    <w:link w:val="88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0">
    <w:name w:val="Нижний колонтитул Знак"/>
    <w:next w:val="880"/>
    <w:link w:val="879"/>
    <w:uiPriority w:val="99"/>
    <w:rPr>
      <w:sz w:val="24"/>
      <w:szCs w:val="24"/>
    </w:rPr>
  </w:style>
  <w:style w:type="character" w:styleId="881">
    <w:name w:val="Номер строки"/>
    <w:next w:val="881"/>
    <w:link w:val="864"/>
  </w:style>
  <w:style w:type="paragraph" w:styleId="882">
    <w:name w:val="Обычный (веб)"/>
    <w:basedOn w:val="864"/>
    <w:next w:val="882"/>
    <w:link w:val="864"/>
    <w:uiPriority w:val="99"/>
    <w:unhideWhenUsed/>
    <w:pPr>
      <w:spacing w:before="100" w:beforeAutospacing="1" w:after="100" w:afterAutospacing="1"/>
    </w:pPr>
  </w:style>
  <w:style w:type="paragraph" w:styleId="883">
    <w:name w:val="Основной текст"/>
    <w:basedOn w:val="864"/>
    <w:next w:val="883"/>
    <w:link w:val="884"/>
    <w:pPr>
      <w:spacing w:after="120"/>
    </w:pPr>
    <w:rPr>
      <w:lang w:val="en-US" w:eastAsia="en-US"/>
    </w:rPr>
  </w:style>
  <w:style w:type="character" w:styleId="884">
    <w:name w:val="Основной текст Знак"/>
    <w:next w:val="884"/>
    <w:link w:val="883"/>
    <w:rPr>
      <w:sz w:val="24"/>
      <w:szCs w:val="24"/>
    </w:rPr>
  </w:style>
  <w:style w:type="paragraph" w:styleId="885">
    <w:name w:val="ConsPlusNormal"/>
    <w:next w:val="885"/>
    <w:link w:val="864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6">
    <w:name w:val="ConsPlusTitle"/>
    <w:next w:val="886"/>
    <w:link w:val="864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7">
    <w:name w:val="Default"/>
    <w:next w:val="887"/>
    <w:link w:val="864"/>
    <w:rPr>
      <w:rFonts w:eastAsia="Calibri"/>
      <w:color w:val="000000"/>
      <w:sz w:val="24"/>
      <w:szCs w:val="24"/>
      <w:lang w:val="ru-RU" w:eastAsia="en-US" w:bidi="ar-SA"/>
    </w:rPr>
  </w:style>
  <w:style w:type="character" w:styleId="888">
    <w:name w:val="Основной текст (2) + Полужирный"/>
    <w:next w:val="888"/>
    <w:link w:val="864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889">
    <w:name w:val="Нет списка1"/>
    <w:next w:val="870"/>
    <w:link w:val="864"/>
    <w:uiPriority w:val="99"/>
    <w:semiHidden/>
    <w:unhideWhenUsed/>
  </w:style>
  <w:style w:type="paragraph" w:styleId="890">
    <w:name w:val="Название"/>
    <w:basedOn w:val="864"/>
    <w:next w:val="890"/>
    <w:link w:val="891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891">
    <w:name w:val="Название Знак"/>
    <w:next w:val="891"/>
    <w:link w:val="890"/>
    <w:rPr>
      <w:rFonts w:eastAsia="Calibri"/>
      <w:sz w:val="28"/>
      <w:szCs w:val="28"/>
    </w:rPr>
  </w:style>
  <w:style w:type="paragraph" w:styleId="892">
    <w:name w:val="заголовок 2"/>
    <w:basedOn w:val="864"/>
    <w:next w:val="864"/>
    <w:link w:val="864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893">
    <w:name w:val="Абзац списка"/>
    <w:basedOn w:val="864"/>
    <w:next w:val="893"/>
    <w:link w:val="864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894">
    <w:name w:val="Основной текст (2)"/>
    <w:next w:val="894"/>
    <w:link w:val="864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895">
    <w:name w:val="Сетка таблицы1"/>
    <w:basedOn w:val="869"/>
    <w:next w:val="873"/>
    <w:link w:val="864"/>
    <w:uiPriority w:val="59"/>
    <w:rPr>
      <w:rFonts w:eastAsia="Calibri"/>
      <w:sz w:val="28"/>
      <w:szCs w:val="28"/>
      <w:lang w:eastAsia="en-US"/>
    </w:rPr>
    <w:tblPr/>
  </w:style>
  <w:style w:type="character" w:styleId="896">
    <w:name w:val="Знак примечания"/>
    <w:next w:val="896"/>
    <w:link w:val="864"/>
    <w:uiPriority w:val="99"/>
    <w:unhideWhenUsed/>
    <w:rPr>
      <w:sz w:val="16"/>
      <w:szCs w:val="16"/>
    </w:rPr>
  </w:style>
  <w:style w:type="paragraph" w:styleId="897">
    <w:name w:val="Текст примечания"/>
    <w:basedOn w:val="864"/>
    <w:next w:val="897"/>
    <w:link w:val="898"/>
    <w:uiPriority w:val="99"/>
    <w:unhideWhenUsed/>
    <w:rPr>
      <w:rFonts w:eastAsia="Calibri"/>
      <w:sz w:val="20"/>
      <w:szCs w:val="20"/>
      <w:lang w:val="en-US" w:eastAsia="en-US"/>
    </w:rPr>
  </w:style>
  <w:style w:type="character" w:styleId="898">
    <w:name w:val="Текст примечания Знак"/>
    <w:next w:val="898"/>
    <w:link w:val="897"/>
    <w:uiPriority w:val="99"/>
    <w:rPr>
      <w:rFonts w:eastAsia="Calibri"/>
    </w:rPr>
  </w:style>
  <w:style w:type="paragraph" w:styleId="899">
    <w:name w:val="Тема примечания"/>
    <w:basedOn w:val="897"/>
    <w:next w:val="897"/>
    <w:link w:val="900"/>
    <w:uiPriority w:val="99"/>
    <w:unhideWhenUsed/>
    <w:rPr>
      <w:b/>
      <w:bCs/>
    </w:rPr>
  </w:style>
  <w:style w:type="character" w:styleId="900">
    <w:name w:val="Тема примечания Знак"/>
    <w:next w:val="900"/>
    <w:link w:val="899"/>
    <w:uiPriority w:val="99"/>
    <w:rPr>
      <w:rFonts w:eastAsia="Calibri"/>
      <w:b/>
      <w:bCs/>
    </w:rPr>
  </w:style>
  <w:style w:type="character" w:styleId="901">
    <w:name w:val="Гиперссылка"/>
    <w:next w:val="901"/>
    <w:link w:val="864"/>
    <w:uiPriority w:val="99"/>
    <w:rPr>
      <w:color w:val="0000ff"/>
      <w:u w:val="single"/>
    </w:rPr>
  </w:style>
  <w:style w:type="character" w:styleId="902">
    <w:name w:val="Основной текст + Полужирный;Интервал 0 pt"/>
    <w:next w:val="902"/>
    <w:link w:val="864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03">
    <w:name w:val="Просмотренная гиперссылка"/>
    <w:next w:val="903"/>
    <w:link w:val="864"/>
    <w:rPr>
      <w:color w:val="954f72"/>
      <w:u w:val="single"/>
    </w:r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  <w:style w:type="character" w:styleId="907" w:customStyle="1">
    <w:name w:val="Heading #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08" w:customStyle="1">
    <w:name w:val="Body text (5)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09" w:customStyle="1">
    <w:name w:val="Body text (2)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4</cp:revision>
  <dcterms:created xsi:type="dcterms:W3CDTF">2021-06-17T14:31:00Z</dcterms:created>
  <dcterms:modified xsi:type="dcterms:W3CDTF">2024-10-21T13:51:04Z</dcterms:modified>
  <cp:version>983040</cp:version>
</cp:coreProperties>
</file>