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E2" w:rsidRDefault="00F63FE2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63FE2" w:rsidRDefault="00F63FE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F63FE2" w:rsidRDefault="0003130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F63FE2" w:rsidRDefault="0003130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F63FE2" w:rsidRDefault="00F63FE2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F63FE2">
        <w:tc>
          <w:tcPr>
            <w:tcW w:w="9854" w:type="dxa"/>
            <w:shd w:val="clear" w:color="auto" w:fill="auto"/>
            <w:noWrap/>
          </w:tcPr>
          <w:p w:rsidR="00F63FE2" w:rsidRDefault="00031300">
            <w:pPr>
              <w:pStyle w:val="40"/>
              <w:shd w:val="clear" w:color="auto" w:fill="auto"/>
              <w:spacing w:after="0" w:line="240" w:lineRule="auto"/>
              <w:rPr>
                <w:b w:val="0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  <w:lang w:eastAsia="ru-RU"/>
              </w:rPr>
              <w:t>Проект постановления администрации Белгородского района Белгородской области      «</w:t>
            </w:r>
            <w:r w:rsidR="00611411" w:rsidRPr="00611411">
              <w:rPr>
                <w:rFonts w:eastAsia="Calibri"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 w:rsidR="00611411" w:rsidRPr="00611411">
              <w:rPr>
                <w:rFonts w:eastAsia="Calibri"/>
                <w:i/>
                <w:sz w:val="24"/>
                <w:szCs w:val="24"/>
                <w:lang w:eastAsia="ru-RU"/>
              </w:rPr>
              <w:br/>
              <w:t xml:space="preserve">Белгородского района Белгородской области от 28 июля 2015 г. № 59 </w:t>
            </w:r>
            <w:r w:rsidR="00611411" w:rsidRPr="00611411">
              <w:rPr>
                <w:rFonts w:eastAsia="Calibri"/>
                <w:i/>
                <w:sz w:val="24"/>
                <w:szCs w:val="24"/>
                <w:lang w:eastAsia="ru-RU"/>
              </w:rPr>
              <w:br/>
              <w:t>«</w:t>
            </w:r>
            <w:hyperlink r:id="rId7" w:history="1">
              <w:r w:rsidR="00611411" w:rsidRPr="00611411">
                <w:rPr>
                  <w:rFonts w:eastAsia="Calibri"/>
                  <w:i/>
                  <w:sz w:val="24"/>
                  <w:szCs w:val="24"/>
                  <w:lang w:eastAsia="ru-RU"/>
                </w:rPr>
                <w:t>О создании эвакуационной комиссии Белгородского района</w:t>
              </w:r>
            </w:hyperlink>
            <w:r w:rsidR="00611411" w:rsidRPr="00611411">
              <w:rPr>
                <w:rFonts w:eastAsia="Calibri"/>
                <w:i/>
                <w:sz w:val="24"/>
                <w:szCs w:val="24"/>
                <w:lang w:eastAsia="ru-RU"/>
              </w:rPr>
              <w:t>»</w:t>
            </w:r>
            <w:r w:rsidRPr="00611411">
              <w:rPr>
                <w:rFonts w:eastAsia="Calibri"/>
                <w:i/>
                <w:sz w:val="24"/>
                <w:szCs w:val="24"/>
                <w:lang w:eastAsia="ru-RU"/>
              </w:rPr>
              <w:t>(</w:t>
            </w:r>
            <w:r>
              <w:rPr>
                <w:i/>
                <w:sz w:val="24"/>
                <w:szCs w:val="24"/>
              </w:rPr>
              <w:t>далее – проект)</w:t>
            </w:r>
          </w:p>
          <w:p w:rsidR="00F63FE2" w:rsidRDefault="00F63FE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63FE2" w:rsidRDefault="000313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r w:rsidR="00611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  <w:bookmarkStart w:id="0" w:name="_GoBack"/>
            <w:bookmarkEnd w:id="0"/>
          </w:p>
        </w:tc>
      </w:tr>
      <w:tr w:rsidR="00F63FE2">
        <w:tc>
          <w:tcPr>
            <w:tcW w:w="9854" w:type="dxa"/>
            <w:shd w:val="clear" w:color="auto" w:fill="auto"/>
            <w:noWrap/>
          </w:tcPr>
          <w:p w:rsidR="00F63FE2" w:rsidRDefault="0003130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F63FE2">
        <w:tc>
          <w:tcPr>
            <w:tcW w:w="9854" w:type="dxa"/>
            <w:shd w:val="clear" w:color="auto" w:fill="auto"/>
            <w:noWrap/>
          </w:tcPr>
          <w:p w:rsidR="00F63FE2" w:rsidRDefault="00031300" w:rsidP="00611411">
            <w:pPr>
              <w:tabs>
                <w:tab w:val="left" w:pos="2940"/>
              </w:tabs>
              <w:jc w:val="both"/>
              <w:rPr>
                <w:rFonts w:ascii="Tinos" w:hAnsi="Tinos" w:cs="Tinos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nos" w:eastAsia="Tinos" w:hAnsi="Tinos" w:cs="Tinos"/>
                <w:color w:val="000000"/>
                <w:sz w:val="24"/>
                <w:szCs w:val="24"/>
              </w:rPr>
              <w:t xml:space="preserve">Проект разработан </w:t>
            </w:r>
            <w:r>
              <w:rPr>
                <w:rFonts w:ascii="Tinos" w:eastAsia="Tinos" w:hAnsi="Tinos" w:cs="Tinos"/>
                <w:sz w:val="24"/>
                <w:szCs w:val="24"/>
              </w:rPr>
              <w:t xml:space="preserve">в соответствии с Федеральным законом от 6 октября 2003 г. </w:t>
            </w:r>
            <w:r>
              <w:rPr>
                <w:rFonts w:ascii="Tinos" w:eastAsia="Tinos" w:hAnsi="Tinos" w:cs="Tinos"/>
                <w:sz w:val="24"/>
                <w:szCs w:val="24"/>
              </w:rPr>
              <w:br/>
              <w:t xml:space="preserve">№ 131-ФЗ «Об общих принципах организации местного самоуправления </w:t>
            </w:r>
            <w:r>
              <w:rPr>
                <w:rFonts w:ascii="Tinos" w:eastAsia="Tinos" w:hAnsi="Tinos" w:cs="Tinos"/>
                <w:sz w:val="24"/>
                <w:szCs w:val="24"/>
              </w:rPr>
              <w:br/>
              <w:t xml:space="preserve">в Российской Федерации», </w:t>
            </w:r>
            <w:r w:rsidR="00611411" w:rsidRPr="00611411">
              <w:rPr>
                <w:rFonts w:ascii="Tinos" w:eastAsia="Tinos" w:hAnsi="Tinos" w:cs="Tinos"/>
                <w:sz w:val="24"/>
                <w:szCs w:val="24"/>
              </w:rPr>
              <w:t>в целях упорядочения работы эвакуационной комиссии Белгородского района и в связи с организационно–штатными изменениями администрация Белгородского района</w:t>
            </w:r>
          </w:p>
        </w:tc>
      </w:tr>
      <w:tr w:rsidR="00F63FE2">
        <w:tc>
          <w:tcPr>
            <w:tcW w:w="9854" w:type="dxa"/>
            <w:shd w:val="clear" w:color="auto" w:fill="auto"/>
            <w:noWrap/>
          </w:tcPr>
          <w:p w:rsidR="00F63FE2" w:rsidRDefault="0003130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F63FE2">
        <w:tc>
          <w:tcPr>
            <w:tcW w:w="9854" w:type="dxa"/>
            <w:shd w:val="clear" w:color="auto" w:fill="auto"/>
            <w:noWrap/>
          </w:tcPr>
          <w:p w:rsidR="00F63FE2" w:rsidRDefault="00031300" w:rsidP="0061141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нения в части </w:t>
            </w:r>
            <w:r w:rsidR="006114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состава эвакуационной комиссии</w:t>
            </w:r>
          </w:p>
        </w:tc>
      </w:tr>
      <w:tr w:rsidR="00F63FE2">
        <w:tc>
          <w:tcPr>
            <w:tcW w:w="9854" w:type="dxa"/>
            <w:shd w:val="clear" w:color="auto" w:fill="auto"/>
            <w:noWrap/>
          </w:tcPr>
          <w:p w:rsidR="00F63FE2" w:rsidRDefault="0003130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F63FE2">
        <w:tc>
          <w:tcPr>
            <w:tcW w:w="9854" w:type="dxa"/>
            <w:shd w:val="clear" w:color="auto" w:fill="auto"/>
            <w:noWrap/>
          </w:tcPr>
          <w:p w:rsidR="00F63FE2" w:rsidRDefault="0003130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слуг муниципального района «Белгородский район» Белгородской области</w:t>
            </w:r>
          </w:p>
        </w:tc>
      </w:tr>
    </w:tbl>
    <w:p w:rsidR="00F63FE2" w:rsidRDefault="00F63FE2"/>
    <w:sectPr w:rsidR="00F63FE2" w:rsidSect="00F63FE2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300" w:rsidRDefault="00031300">
      <w:r>
        <w:separator/>
      </w:r>
    </w:p>
  </w:endnote>
  <w:endnote w:type="continuationSeparator" w:id="1">
    <w:p w:rsidR="00031300" w:rsidRDefault="00031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300" w:rsidRDefault="00031300">
      <w:r>
        <w:separator/>
      </w:r>
    </w:p>
  </w:footnote>
  <w:footnote w:type="continuationSeparator" w:id="1">
    <w:p w:rsidR="00031300" w:rsidRDefault="000313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A4DDB"/>
    <w:multiLevelType w:val="hybridMultilevel"/>
    <w:tmpl w:val="03F673A2"/>
    <w:lvl w:ilvl="0" w:tplc="957EA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8E4FA4C">
      <w:start w:val="1"/>
      <w:numFmt w:val="lowerLetter"/>
      <w:lvlText w:val="%2."/>
      <w:lvlJc w:val="left"/>
      <w:pPr>
        <w:ind w:left="1800" w:hanging="360"/>
      </w:pPr>
    </w:lvl>
    <w:lvl w:ilvl="2" w:tplc="D6D8BD14">
      <w:start w:val="1"/>
      <w:numFmt w:val="lowerRoman"/>
      <w:lvlText w:val="%3."/>
      <w:lvlJc w:val="right"/>
      <w:pPr>
        <w:ind w:left="2520" w:hanging="180"/>
      </w:pPr>
    </w:lvl>
    <w:lvl w:ilvl="3" w:tplc="2C786FD2">
      <w:start w:val="1"/>
      <w:numFmt w:val="decimal"/>
      <w:lvlText w:val="%4."/>
      <w:lvlJc w:val="left"/>
      <w:pPr>
        <w:ind w:left="3240" w:hanging="360"/>
      </w:pPr>
    </w:lvl>
    <w:lvl w:ilvl="4" w:tplc="68F62E98">
      <w:start w:val="1"/>
      <w:numFmt w:val="lowerLetter"/>
      <w:lvlText w:val="%5."/>
      <w:lvlJc w:val="left"/>
      <w:pPr>
        <w:ind w:left="3960" w:hanging="360"/>
      </w:pPr>
    </w:lvl>
    <w:lvl w:ilvl="5" w:tplc="FDF43398">
      <w:start w:val="1"/>
      <w:numFmt w:val="lowerRoman"/>
      <w:lvlText w:val="%6."/>
      <w:lvlJc w:val="right"/>
      <w:pPr>
        <w:ind w:left="4680" w:hanging="180"/>
      </w:pPr>
    </w:lvl>
    <w:lvl w:ilvl="6" w:tplc="BB0E8204">
      <w:start w:val="1"/>
      <w:numFmt w:val="decimal"/>
      <w:lvlText w:val="%7."/>
      <w:lvlJc w:val="left"/>
      <w:pPr>
        <w:ind w:left="5400" w:hanging="360"/>
      </w:pPr>
    </w:lvl>
    <w:lvl w:ilvl="7" w:tplc="4426DB74">
      <w:start w:val="1"/>
      <w:numFmt w:val="lowerLetter"/>
      <w:lvlText w:val="%8."/>
      <w:lvlJc w:val="left"/>
      <w:pPr>
        <w:ind w:left="6120" w:hanging="360"/>
      </w:pPr>
    </w:lvl>
    <w:lvl w:ilvl="8" w:tplc="7188F6A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3FE2"/>
    <w:rsid w:val="00031300"/>
    <w:rsid w:val="00611411"/>
    <w:rsid w:val="00F63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63FE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F63FE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63FE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63FE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63FE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63FE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63FE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63FE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63FE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63FE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63FE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63FE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63FE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63FE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63FE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63FE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63FE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63FE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63FE2"/>
    <w:pPr>
      <w:ind w:left="720"/>
      <w:contextualSpacing/>
    </w:pPr>
  </w:style>
  <w:style w:type="paragraph" w:styleId="a4">
    <w:name w:val="No Spacing"/>
    <w:uiPriority w:val="1"/>
    <w:qFormat/>
    <w:rsid w:val="00F63FE2"/>
  </w:style>
  <w:style w:type="paragraph" w:styleId="a5">
    <w:name w:val="Title"/>
    <w:basedOn w:val="a"/>
    <w:next w:val="a"/>
    <w:link w:val="a6"/>
    <w:uiPriority w:val="10"/>
    <w:qFormat/>
    <w:rsid w:val="00F63FE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F63FE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63FE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63FE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63FE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63FE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63F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63FE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63FE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F63FE2"/>
  </w:style>
  <w:style w:type="paragraph" w:customStyle="1" w:styleId="Footer">
    <w:name w:val="Footer"/>
    <w:basedOn w:val="a"/>
    <w:link w:val="CaptionChar"/>
    <w:uiPriority w:val="99"/>
    <w:unhideWhenUsed/>
    <w:rsid w:val="00F63FE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F63FE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63FE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63FE2"/>
  </w:style>
  <w:style w:type="table" w:styleId="ab">
    <w:name w:val="Table Grid"/>
    <w:basedOn w:val="a1"/>
    <w:uiPriority w:val="59"/>
    <w:rsid w:val="00F63F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63FE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63FE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63FE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63F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63F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63F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63FE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63FE2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63FE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63FE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63FE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63FE2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63FE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63FE2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63F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63F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63F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63F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63F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63F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63F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63FE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63FE2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63FE2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63FE2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63FE2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63FE2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63FE2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63F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63FE2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F63FE2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F63FE2"/>
    <w:rPr>
      <w:sz w:val="18"/>
    </w:rPr>
  </w:style>
  <w:style w:type="character" w:styleId="ae">
    <w:name w:val="footnote reference"/>
    <w:basedOn w:val="a0"/>
    <w:uiPriority w:val="99"/>
    <w:unhideWhenUsed/>
    <w:rsid w:val="00F63FE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F63FE2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F63FE2"/>
    <w:rPr>
      <w:sz w:val="20"/>
    </w:rPr>
  </w:style>
  <w:style w:type="character" w:styleId="af1">
    <w:name w:val="endnote reference"/>
    <w:basedOn w:val="a0"/>
    <w:uiPriority w:val="99"/>
    <w:semiHidden/>
    <w:unhideWhenUsed/>
    <w:rsid w:val="00F63FE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63FE2"/>
    <w:pPr>
      <w:spacing w:after="57"/>
    </w:pPr>
  </w:style>
  <w:style w:type="paragraph" w:styleId="21">
    <w:name w:val="toc 2"/>
    <w:basedOn w:val="a"/>
    <w:next w:val="a"/>
    <w:uiPriority w:val="39"/>
    <w:unhideWhenUsed/>
    <w:rsid w:val="00F63FE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63FE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63FE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63FE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63FE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63FE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63FE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63FE2"/>
    <w:pPr>
      <w:spacing w:after="57"/>
      <w:ind w:left="2268"/>
    </w:pPr>
  </w:style>
  <w:style w:type="paragraph" w:styleId="af2">
    <w:name w:val="TOC Heading"/>
    <w:uiPriority w:val="39"/>
    <w:unhideWhenUsed/>
    <w:rsid w:val="00F63FE2"/>
  </w:style>
  <w:style w:type="paragraph" w:styleId="af3">
    <w:name w:val="table of figures"/>
    <w:basedOn w:val="a"/>
    <w:next w:val="a"/>
    <w:uiPriority w:val="99"/>
    <w:unhideWhenUsed/>
    <w:rsid w:val="00F63FE2"/>
  </w:style>
  <w:style w:type="character" w:styleId="af4">
    <w:name w:val="Hyperlink"/>
    <w:basedOn w:val="a0"/>
    <w:uiPriority w:val="99"/>
    <w:unhideWhenUsed/>
    <w:rsid w:val="00F63FE2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F63FE2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F63FE2"/>
    <w:rPr>
      <w:rFonts w:ascii="Segoe UI" w:hAnsi="Segoe UI" w:cs="Segoe UI"/>
      <w:sz w:val="18"/>
      <w:szCs w:val="18"/>
    </w:rPr>
  </w:style>
  <w:style w:type="paragraph" w:customStyle="1" w:styleId="40">
    <w:name w:val="Основной текст (4)"/>
    <w:basedOn w:val="a"/>
    <w:rsid w:val="00F63FE2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  <w:lang w:eastAsia="zh-CN"/>
    </w:rPr>
  </w:style>
  <w:style w:type="paragraph" w:customStyle="1" w:styleId="10">
    <w:name w:val="Без интервала1"/>
    <w:qFormat/>
    <w:rsid w:val="00F63FE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jc w:val="both"/>
    </w:pPr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lrn.ru/wp-content/uploads/2015/07/5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Шевцов Андрей Николаевич</cp:lastModifiedBy>
  <cp:revision>32</cp:revision>
  <dcterms:created xsi:type="dcterms:W3CDTF">2019-08-20T14:10:00Z</dcterms:created>
  <dcterms:modified xsi:type="dcterms:W3CDTF">2024-12-16T07:34:00Z</dcterms:modified>
</cp:coreProperties>
</file>