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Комитет по обеспечению безопасности администрации Белгородского района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По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none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роекту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31 октября 2024 г. № 149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«Об утверждении муниципальной программы Белгородского района «Обеспечение безопасности жизнедеятельности населения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Белгородского района»»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yellow"/>
                <w:lang w:eastAsia="ru-RU"/>
              </w:rPr>
            </w:r>
            <w:r/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03.02.2025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г. по 14.02.2025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Галкина Диана Владимировна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, главный специалист отдела </w:t>
              <w:br/>
              <w:t xml:space="preserve">по взаимодействию с правоохранительными органами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комитета по обеспечению безопасности 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26-77-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79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  <w:style w:type="paragraph" w:styleId="1_633" w:customStyle="1">
    <w:name w:val="Основной текст (4)"/>
    <w:basedOn w:val="820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240" w:afterAutospacing="0" w:line="30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2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25</cp:revision>
  <dcterms:created xsi:type="dcterms:W3CDTF">2019-08-20T14:10:00Z</dcterms:created>
  <dcterms:modified xsi:type="dcterms:W3CDTF">2025-02-03T13:38:37Z</dcterms:modified>
</cp:coreProperties>
</file>