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59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администрация Белгородского района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 13 сентября 2022 г. № 90 «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Об утверждении размера платы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 содержание жилого помещения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для собственников жилых помещений,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которые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не приняли решение о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выборе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способа управления многоквартирным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домом, решение об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установлении размера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платы за содержание жилого помещения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и порядка определения предельных индексов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изменения размера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такой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платы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»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Федеральным законом от 6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октября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2003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г.</w:t>
      </w:r>
      <w:r>
        <w:rPr>
          <w:rFonts w:ascii="Times New Roman" w:hAnsi="Times New Roman" w:eastAsia="Calibri" w:cs="Times New Roman"/>
          <w:sz w:val="28"/>
          <w:szCs w:val="28"/>
        </w:rPr>
        <w:t xml:space="preserve"> № 131-ФЗ «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Об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общих принципах организации местного самоуправления в Российской Федерации»,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статьями 156,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158 Жилищного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одекса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Российской Федерации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постановлением Правительства Российской Фед</w:t>
      </w:r>
      <w:r>
        <w:rPr>
          <w:rFonts w:ascii="Times New Roman" w:hAnsi="Times New Roman" w:eastAsia="Calibri" w:cs="Times New Roman"/>
          <w:sz w:val="28"/>
          <w:szCs w:val="28"/>
        </w:rPr>
        <w:t xml:space="preserve">ерации от 3</w:t>
      </w:r>
      <w:r>
        <w:rPr>
          <w:rFonts w:ascii="Times New Roman" w:hAnsi="Times New Roman" w:eastAsia="Calibri" w:cs="Times New Roman"/>
          <w:sz w:val="28"/>
          <w:szCs w:val="28"/>
        </w:rPr>
        <w:t xml:space="preserve"> апреля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2013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  <w:br/>
        <w:t xml:space="preserve">№ 290 «О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минимальном перечне услуг и работ, необходимых для обеспечения надлежащего содержания общего имущ</w:t>
      </w:r>
      <w:r>
        <w:rPr>
          <w:rFonts w:ascii="Times New Roman" w:hAnsi="Times New Roman" w:eastAsia="Calibri" w:cs="Times New Roman"/>
          <w:sz w:val="28"/>
          <w:szCs w:val="28"/>
        </w:rPr>
        <w:t xml:space="preserve">ества в многоквартирном доме, и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порядке их оказания и выполнения»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приказ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ом Министерства строительства и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жилищно-коммунального хозяйства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Российской Федерации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6</w:t>
      </w:r>
      <w:r>
        <w:rPr>
          <w:rFonts w:ascii="Times New Roman" w:hAnsi="Times New Roman" w:eastAsia="Calibri" w:cs="Times New Roman"/>
          <w:sz w:val="28"/>
          <w:szCs w:val="28"/>
        </w:rPr>
        <w:t xml:space="preserve"> апреля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2018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</w:t>
      </w:r>
      <w:r>
        <w:rPr>
          <w:rFonts w:ascii="Times New Roman" w:hAnsi="Times New Roman" w:eastAsia="Calibri" w:cs="Times New Roman"/>
          <w:sz w:val="28"/>
          <w:szCs w:val="28"/>
        </w:rPr>
        <w:t xml:space="preserve"> № </w:t>
      </w:r>
      <w:r>
        <w:rPr>
          <w:rFonts w:ascii="Times New Roman" w:hAnsi="Times New Roman" w:eastAsia="Calibri" w:cs="Times New Roman"/>
          <w:sz w:val="28"/>
          <w:szCs w:val="28"/>
        </w:rPr>
        <w:t xml:space="preserve">213/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огоквартирным домом, решение об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установ</w:t>
      </w:r>
      <w:r>
        <w:rPr>
          <w:rFonts w:ascii="Times New Roman" w:hAnsi="Times New Roman" w:eastAsia="Calibri" w:cs="Times New Roman"/>
          <w:sz w:val="28"/>
          <w:szCs w:val="28"/>
        </w:rPr>
        <w:t xml:space="preserve">лении размера платы за 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содержан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ие жилого помещения, а также по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установлению порядка определения предельных индексов изменения размера такой платы»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Уставом муниципального района «Белгородский район» Белгородской области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письмом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территориального органа федеральной служб</w:t>
      </w:r>
      <w:r>
        <w:rPr>
          <w:rFonts w:ascii="Times New Roman" w:hAnsi="Times New Roman" w:eastAsia="Calibri" w:cs="Times New Roman"/>
          <w:sz w:val="28"/>
          <w:szCs w:val="28"/>
        </w:rPr>
        <w:t xml:space="preserve">ы государственной статистики по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Белгородской области (</w:t>
      </w:r>
      <w:r>
        <w:rPr>
          <w:rFonts w:ascii="Times New Roman" w:hAnsi="Times New Roman" w:eastAsia="Calibri" w:cs="Times New Roman"/>
          <w:sz w:val="28"/>
          <w:szCs w:val="28"/>
        </w:rPr>
        <w:t xml:space="preserve">Белгородстат</w:t>
      </w:r>
      <w:r>
        <w:rPr>
          <w:rFonts w:ascii="Times New Roman" w:hAnsi="Times New Roman" w:eastAsia="Calibri" w:cs="Times New Roman"/>
          <w:sz w:val="28"/>
          <w:szCs w:val="28"/>
        </w:rPr>
        <w:t xml:space="preserve">)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</w:t>
      </w:r>
      <w:r>
        <w:rPr>
          <w:rFonts w:ascii="Times New Roman" w:hAnsi="Times New Roman" w:eastAsia="Calibri" w:cs="Times New Roman"/>
          <w:sz w:val="28"/>
          <w:szCs w:val="28"/>
        </w:rPr>
        <w:t xml:space="preserve">т 21</w:t>
      </w:r>
      <w:r>
        <w:rPr>
          <w:rFonts w:ascii="Times New Roman" w:hAnsi="Times New Roman" w:eastAsia="Calibri" w:cs="Times New Roman"/>
          <w:sz w:val="28"/>
          <w:szCs w:val="28"/>
        </w:rPr>
        <w:t xml:space="preserve"> января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202</w:t>
      </w:r>
      <w:r>
        <w:rPr>
          <w:rFonts w:ascii="Times New Roman" w:hAnsi="Times New Roman" w:eastAsia="Calibri" w:cs="Times New Roman"/>
          <w:sz w:val="28"/>
          <w:szCs w:val="28"/>
        </w:rPr>
        <w:t xml:space="preserve">5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г.</w:t>
      </w:r>
      <w:r>
        <w:rPr>
          <w:rFonts w:ascii="Times New Roman" w:hAnsi="Times New Roman" w:eastAsia="Calibri" w:cs="Times New Roman"/>
          <w:sz w:val="28"/>
          <w:szCs w:val="28"/>
        </w:rPr>
        <w:t xml:space="preserve"> № СХ-</w:t>
      </w:r>
      <w:r>
        <w:rPr>
          <w:rFonts w:ascii="Times New Roman" w:hAnsi="Times New Roman" w:eastAsia="Calibri" w:cs="Times New Roman"/>
          <w:sz w:val="28"/>
          <w:szCs w:val="28"/>
        </w:rPr>
        <w:t xml:space="preserve">Т</w:t>
      </w:r>
      <w:r>
        <w:rPr>
          <w:rFonts w:ascii="Times New Roman" w:hAnsi="Times New Roman" w:eastAsia="Calibri" w:cs="Times New Roman"/>
          <w:sz w:val="28"/>
          <w:szCs w:val="28"/>
        </w:rPr>
        <w:t xml:space="preserve">34-07/</w:t>
      </w:r>
      <w:r>
        <w:rPr>
          <w:rFonts w:ascii="Times New Roman" w:hAnsi="Times New Roman" w:eastAsia="Calibri" w:cs="Times New Roman"/>
          <w:sz w:val="28"/>
          <w:szCs w:val="28"/>
        </w:rPr>
        <w:t xml:space="preserve">21</w:t>
      </w:r>
      <w:r>
        <w:rPr>
          <w:rFonts w:ascii="Times New Roman" w:hAnsi="Times New Roman" w:eastAsia="Calibri" w:cs="Times New Roman"/>
          <w:sz w:val="28"/>
          <w:szCs w:val="28"/>
        </w:rPr>
        <w:t xml:space="preserve">-МС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об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индексе потребительских цен на жилищные и коммунальные услуги </w:t>
        <w:br/>
        <w:t xml:space="preserve">по Белгородской области за 2024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целях обеспечения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надлежащего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содержания общего имущества в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многоквартирных домах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админ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истрация Белгородского района  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  <w:t xml:space="preserve"> п о с т а н о в л я е т: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Внести в постановление администрации Белгородского района Белгородской области от 13 сентября 2022 г. № 90 «Об утверждении размера платы за содержание жилого помещения для собственников жилых помещений,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которые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 индексов изменения размера такой платы» (далее – Постановление) следующие изменения: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1.1. Р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азмер платы </w:t>
      </w:r>
      <w:r>
        <w:rPr>
          <w:rFonts w:ascii="Times New Roman" w:hAnsi="Times New Roman" w:eastAsia="Calibri" w:cs="Times New Roman"/>
          <w:sz w:val="28"/>
          <w:szCs w:val="28"/>
        </w:rPr>
        <w:t xml:space="preserve">за содержание жилого помещения для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собственников жилых помещений, которые не приняли решение о выборе способа управления многоквартирным домом, решение о</w:t>
      </w:r>
      <w:r>
        <w:rPr>
          <w:rFonts w:ascii="Times New Roman" w:hAnsi="Times New Roman" w:eastAsia="Calibri" w:cs="Times New Roman"/>
          <w:sz w:val="28"/>
          <w:szCs w:val="28"/>
        </w:rPr>
        <w:t xml:space="preserve">б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установлении размера платы </w:t>
      </w:r>
      <w:r>
        <w:rPr>
          <w:rFonts w:ascii="Times New Roman" w:hAnsi="Times New Roman" w:eastAsia="Calibri" w:cs="Times New Roman"/>
          <w:sz w:val="28"/>
          <w:szCs w:val="28"/>
        </w:rPr>
        <w:br/>
      </w:r>
      <w:r>
        <w:rPr>
          <w:rFonts w:ascii="Times New Roman" w:hAnsi="Times New Roman" w:eastAsia="Calibri" w:cs="Times New Roman"/>
          <w:sz w:val="28"/>
          <w:szCs w:val="28"/>
        </w:rPr>
        <w:t xml:space="preserve">за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содержание жилого помещения</w:t>
      </w:r>
      <w:r>
        <w:rPr>
          <w:rFonts w:ascii="Times New Roman" w:hAnsi="Times New Roman" w:eastAsia="Calibri" w:cs="Times New Roman"/>
          <w:sz w:val="28"/>
          <w:szCs w:val="28"/>
        </w:rPr>
        <w:t xml:space="preserve"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на территории муниципального района «Белгородский район» Белгородской области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на 202</w:t>
      </w:r>
      <w:r>
        <w:rPr>
          <w:rFonts w:ascii="Times New Roman" w:hAnsi="Times New Roman" w:eastAsia="Calibri" w:cs="Times New Roman"/>
          <w:sz w:val="28"/>
          <w:szCs w:val="28"/>
        </w:rPr>
        <w:t xml:space="preserve">5</w:t>
      </w:r>
      <w:r>
        <w:rPr>
          <w:rFonts w:ascii="Times New Roman" w:hAnsi="Times New Roman" w:eastAsia="Calibri" w:cs="Times New Roman"/>
          <w:sz w:val="28"/>
          <w:szCs w:val="28"/>
        </w:rPr>
        <w:t xml:space="preserve">-2026 годы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зависимости от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степени благоу</w:t>
      </w:r>
      <w:r>
        <w:rPr>
          <w:rFonts w:ascii="Times New Roman" w:hAnsi="Times New Roman" w:eastAsia="Calibri" w:cs="Times New Roman"/>
          <w:sz w:val="28"/>
          <w:szCs w:val="28"/>
        </w:rPr>
        <w:t xml:space="preserve">стройства многоквартирного дома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утвержденный Постановлением,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утвердить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(п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рилагается)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/>
    </w:p>
    <w:p>
      <w:pPr>
        <w:pStyle w:val="715"/>
        <w:ind w:right="20" w:firstLine="700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</w:t>
      </w:r>
      <w:r>
        <w:rPr>
          <w:sz w:val="28"/>
          <w:szCs w:val="28"/>
        </w:rPr>
        <w:t xml:space="preserve">ение в</w:t>
      </w:r>
      <w:r>
        <w:rPr>
          <w:sz w:val="28"/>
          <w:szCs w:val="28"/>
        </w:rPr>
        <w:t xml:space="preserve"> газете «Знамя» и разместить на </w:t>
      </w:r>
      <w:r>
        <w:rPr>
          <w:sz w:val="28"/>
          <w:szCs w:val="28"/>
        </w:rPr>
        <w:t xml:space="preserve">официальном сайте органов местного самоуправления муниципального района «Белгородский район» Белгородской области </w:t>
      </w:r>
      <w:r>
        <w:rPr>
          <w:sz w:val="28"/>
          <w:szCs w:val="28"/>
          <w:lang w:eastAsia="ru-RU"/>
        </w:rPr>
        <w:t xml:space="preserve">в </w:t>
      </w:r>
      <w:r>
        <w:rPr>
          <w:sz w:val="28"/>
          <w:szCs w:val="28"/>
          <w:lang w:eastAsia="ru-RU"/>
        </w:rPr>
        <w:t xml:space="preserve"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hyperlink r:id="rId12" w:tooltip="https://belgorodskij-r31.gosuslugi.ru" w:history="1">
        <w:r>
          <w:rPr>
            <w:rStyle w:val="719"/>
            <w:color w:val="000000" w:themeColor="text1"/>
            <w:sz w:val="28"/>
            <w:szCs w:val="28"/>
            <w:u w:val="none"/>
            <w:lang w:val="en-US"/>
          </w:rPr>
          <w:t xml:space="preserve">https</w:t>
        </w:r>
        <w:r>
          <w:rPr>
            <w:rStyle w:val="719"/>
            <w:color w:val="000000" w:themeColor="text1"/>
            <w:sz w:val="28"/>
            <w:szCs w:val="28"/>
            <w:u w:val="none"/>
          </w:rPr>
          <w:t xml:space="preserve">://</w:t>
        </w:r>
        <w:r>
          <w:rPr>
            <w:rStyle w:val="719"/>
            <w:color w:val="000000" w:themeColor="text1"/>
            <w:sz w:val="28"/>
            <w:szCs w:val="28"/>
            <w:u w:val="none"/>
            <w:lang w:val="en-US"/>
          </w:rPr>
          <w:t xml:space="preserve">belgorodskij</w:t>
        </w:r>
        <w:r>
          <w:rPr>
            <w:rStyle w:val="719"/>
            <w:color w:val="000000" w:themeColor="text1"/>
            <w:sz w:val="28"/>
            <w:szCs w:val="28"/>
            <w:u w:val="none"/>
          </w:rPr>
          <w:t xml:space="preserve">-</w:t>
        </w:r>
        <w:r>
          <w:rPr>
            <w:rStyle w:val="719"/>
            <w:color w:val="000000" w:themeColor="text1"/>
            <w:sz w:val="28"/>
            <w:szCs w:val="28"/>
            <w:u w:val="none"/>
            <w:lang w:val="en-US"/>
          </w:rPr>
          <w:t xml:space="preserve">r</w:t>
        </w:r>
        <w:r>
          <w:rPr>
            <w:rStyle w:val="719"/>
            <w:color w:val="000000" w:themeColor="text1"/>
            <w:sz w:val="28"/>
            <w:szCs w:val="28"/>
            <w:u w:val="none"/>
          </w:rPr>
          <w:t xml:space="preserve">31.</w:t>
        </w:r>
        <w:r>
          <w:rPr>
            <w:rStyle w:val="719"/>
            <w:color w:val="000000" w:themeColor="text1"/>
            <w:sz w:val="28"/>
            <w:szCs w:val="28"/>
            <w:u w:val="none"/>
            <w:lang w:val="en-US"/>
          </w:rPr>
          <w:t xml:space="preserve">gosuslugi</w:t>
        </w:r>
        <w:r>
          <w:rPr>
            <w:rStyle w:val="719"/>
            <w:color w:val="000000" w:themeColor="text1"/>
            <w:sz w:val="28"/>
            <w:szCs w:val="28"/>
            <w:u w:val="none"/>
          </w:rPr>
          <w:t xml:space="preserve">.</w:t>
        </w:r>
        <w:r>
          <w:rPr>
            <w:rStyle w:val="719"/>
            <w:color w:val="000000" w:themeColor="text1"/>
            <w:sz w:val="28"/>
            <w:szCs w:val="28"/>
            <w:u w:val="none"/>
            <w:lang w:val="en-US"/>
          </w:rPr>
          <w:t xml:space="preserve">ru</w:t>
        </w:r>
      </w:hyperlink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/>
    </w:p>
    <w:p>
      <w:pPr>
        <w:pStyle w:val="715"/>
        <w:ind w:right="20" w:firstLine="700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вступает в силу со дня его опубликования</w:t>
      </w:r>
      <w:bookmarkStart w:id="0" w:name="_GoBack"/>
      <w:r/>
      <w:bookmarkEnd w:id="0"/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tabs>
          <w:tab w:val="num" w:pos="360" w:leader="none"/>
        </w:tabs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ffffff" w:themeColor="background1"/>
          <w:spacing w:val="-4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Контроль 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за 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исполнени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ем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 настоящего 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постановл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ения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возложить на 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комитет ЖКХ, транспорта и инженерной инфраструктуры администрации Белгородского района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(Индучный П.Ю.)</w:t>
      </w: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tabs>
          <w:tab w:val="num" w:pos="360" w:leader="none"/>
        </w:tabs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num" w:pos="360" w:leader="none"/>
        </w:tabs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</w:r>
      <w:r/>
    </w:p>
    <w:p>
      <w:pPr>
        <w:pStyle w:val="33"/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-4"/>
          <w:sz w:val="28"/>
          <w:szCs w:val="28"/>
        </w:rPr>
      </w:r>
      <w:r/>
    </w:p>
    <w:p>
      <w:pPr>
        <w:pStyle w:val="3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Первый заместитель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главы администрации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</w:t>
      </w:r>
      <w:r>
        <w:rPr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w:t xml:space="preserve">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w:t xml:space="preserve">Т.П. </w:t>
      </w: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w:t xml:space="preserve">Круглякова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15"/>
        <w:ind w:right="20" w:firstLine="708"/>
        <w:spacing w:before="0" w:after="0" w:line="317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5"/>
        <w:ind w:right="20" w:firstLine="708"/>
        <w:spacing w:before="0" w:after="0" w:line="317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  <w:br w:type="page" w:clear="all"/>
      </w:r>
      <w:r/>
    </w:p>
    <w:p>
      <w:pPr>
        <w:pStyle w:val="714"/>
        <w:ind w:left="9012" w:right="-1" w:firstLine="900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УТВЕРЖД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 </w:t>
      </w:r>
      <w:r/>
    </w:p>
    <w:p>
      <w:pPr>
        <w:pStyle w:val="714"/>
        <w:ind w:left="9012" w:right="-1" w:firstLine="900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постановлением</w:t>
      </w:r>
      <w:r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/>
    </w:p>
    <w:p>
      <w:pPr>
        <w:pStyle w:val="714"/>
        <w:ind w:left="9012" w:right="-1" w:firstLine="708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 Белгородского района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от «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___</w:t>
      </w:r>
      <w:r/>
    </w:p>
    <w:p>
      <w:pPr>
        <w:ind w:right="-284" w:firstLine="709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ind w:right="-1"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right="-1"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right="-1"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</w:t>
      </w:r>
      <w:r>
        <w:rPr>
          <w:rFonts w:ascii="Times New Roman" w:hAnsi="Times New Roman" w:cs="Times New Roman"/>
          <w:b/>
          <w:sz w:val="28"/>
          <w:szCs w:val="28"/>
        </w:rPr>
        <w:t xml:space="preserve">азмер платы за содержание жилого помещения</w:t>
      </w:r>
      <w:r/>
    </w:p>
    <w:p>
      <w:pPr>
        <w:ind w:right="-1" w:firstLine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,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«Белгородский район» Белгородской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-2026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 xml:space="preserve">од</w:t>
      </w:r>
      <w:r>
        <w:rPr>
          <w:rFonts w:ascii="Times New Roman" w:hAnsi="Times New Roman" w:cs="Times New Roman"/>
          <w:b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/>
    </w:p>
    <w:p>
      <w:pPr>
        <w:ind w:right="-1" w:firstLine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зависимости от степени благоустройства многоквартирного дома</w:t>
      </w:r>
      <w:r/>
    </w:p>
    <w:p>
      <w:pPr>
        <w:ind w:right="-1" w:firstLine="709"/>
        <w:spacing w:after="0" w:line="240" w:lineRule="auto"/>
        <w:tabs>
          <w:tab w:val="left" w:pos="994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/>
    </w:p>
    <w:tbl>
      <w:tblPr>
        <w:tblStyle w:val="705"/>
        <w:tblW w:w="15209" w:type="dxa"/>
        <w:tblLayout w:type="fixed"/>
        <w:tblLook w:val="04A0" w:firstRow="1" w:lastRow="0" w:firstColumn="1" w:lastColumn="0" w:noHBand="0" w:noVBand="1"/>
      </w:tblPr>
      <w:tblGrid>
        <w:gridCol w:w="421"/>
        <w:gridCol w:w="4536"/>
        <w:gridCol w:w="1559"/>
        <w:gridCol w:w="1134"/>
        <w:gridCol w:w="1192"/>
        <w:gridCol w:w="1636"/>
        <w:gridCol w:w="1483"/>
        <w:gridCol w:w="1784"/>
        <w:gridCol w:w="1464"/>
      </w:tblGrid>
      <w:tr>
        <w:trPr/>
        <w:tc>
          <w:tcPr>
            <w:tcW w:w="421" w:type="dxa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</w:t>
            </w:r>
            <w:r/>
          </w:p>
        </w:tc>
        <w:tc>
          <w:tcPr>
            <w:tcW w:w="4536" w:type="dxa"/>
            <w:vMerge w:val="restart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Типы многоквартирных домов</w:t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Действую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щий размер платы по состоянию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/м2</w:t>
            </w:r>
            <w:r/>
          </w:p>
        </w:tc>
        <w:tc>
          <w:tcPr>
            <w:gridSpan w:val="6"/>
            <w:tcW w:w="869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Экономически обоснованный размер платы за содержание жилого помещения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</w:t>
            </w:r>
            <w:r/>
          </w:p>
        </w:tc>
      </w:tr>
      <w:tr>
        <w:trPr/>
        <w:tc>
          <w:tcPr>
            <w:tcW w:w="421" w:type="dxa"/>
            <w:vMerge w:val="continue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4536" w:type="dxa"/>
            <w:vMerge w:val="continue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</w:t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платы</w:t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ВСЕГО,</w:t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/м2</w:t>
            </w:r>
            <w:r/>
          </w:p>
        </w:tc>
        <w:tc>
          <w:tcPr>
            <w:gridSpan w:val="5"/>
            <w:tcW w:w="7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(руб./м2)</w:t>
            </w:r>
            <w:r/>
          </w:p>
        </w:tc>
      </w:tr>
      <w:tr>
        <w:trPr>
          <w:cantSplit/>
          <w:trHeight w:val="1134"/>
        </w:trPr>
        <w:tc>
          <w:tcPr>
            <w:tcW w:w="421" w:type="dxa"/>
            <w:vMerge w:val="continue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4536" w:type="dxa"/>
            <w:vMerge w:val="continue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Текущий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емонт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конструк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тивных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жилых домов</w:t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и техническое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внутридомового инженерного оборудования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Аварийно-</w:t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диспетчерское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обслуживание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санитарного состояния общего имущества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МКД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придомовой территории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ремонт лифтового оборудования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/>
          </w:p>
        </w:tc>
      </w:tr>
      <w:tr>
        <w:trPr>
          <w:trHeight w:val="269"/>
        </w:trPr>
        <w:tc>
          <w:tcPr>
            <w:gridSpan w:val="9"/>
            <w:tcW w:w="1520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ногоквартирные дома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имеющие все виды благоустройства</w:t>
            </w:r>
            <w:r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лифтами и мусоропроводами, с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электроплитами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23,17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25,12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7,21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7,86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5,94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лифтами и мусоропроводами, с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газовыми плитами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22,89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24,82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6,91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7,86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5,94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>
          <w:trHeight w:val="278"/>
        </w:trPr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лифтами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электроплитами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/>
          </w:p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мусоропроводов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22,97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24,90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7,01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7,84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5,94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лифтами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газовыми плитами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/>
          </w:p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мусоропровод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22,67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24,58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6,69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7,84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5,94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лифтами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газовыми плитами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индивидуальным отоплением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/>
          </w:p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мусоропровод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22,79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24,71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6,82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7,84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5,94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лифт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мусоропрово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электроплитами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19,86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21,53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9,59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лифт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мусоропрово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газовыми плитами</w:t>
            </w:r>
            <w:r/>
          </w:p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19,09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20,70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8,76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/>
          </w:p>
        </w:tc>
      </w:tr>
      <w:tr>
        <w:trPr/>
        <w:tc>
          <w:tcPr>
            <w:gridSpan w:val="9"/>
            <w:tcW w:w="1520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ногоквартирные дома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имеющие все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 все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виды благоустройства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централизованным холодным водоснабжением,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отоплением, водоотведением,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электро- и газоснабжением, без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централизованного горячего водоснабжения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16,72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18,13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6,19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централизованным холодным водоснабжен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ием, водоотведением, электро-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газоснабжением (газовые котлы), </w:t>
            </w:r>
            <w:r/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анного горячего водоснабжения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17,52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5,58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централизованным холодным водосна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бжением, отоплением, электро-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газоснабжением, без централизованного горячего водоснабжения и водоотведения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15,97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17,31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5,73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централизованным холодным водоснабжением, электро- и газоснабжением,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 индивидуальным отоплением, </w:t>
            </w:r>
            <w:r/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горячего водоснабжения и водоотведения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15,95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17,29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5,42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0,81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централизованным отоплением, электро- и газоснабжением, </w:t>
            </w:r>
            <w:r/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централизованного холодн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горячего водоснабжения и водоотведения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16,37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17,75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5,88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0,81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централизованным холодным водосна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бжением, отоплением, электро-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газоснабжением, без централизованного горячего водоснабжения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одоотведения, при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тствии помещений, относящихся к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общему имуществу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15,38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16,67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5,33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0,81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7,30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отсутствии более 2-х видов централизованных инженерных коммуникаций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 также дома с износом более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0%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14,87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16,12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5,12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0,57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7,20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gridSpan w:val="9"/>
            <w:tcW w:w="1520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ногоквартирные дома секционного (коридорного) типа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имеющие все виды благоустройства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кухнями, ванными и санузлами при жилых комнатах,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оборудованных лифтом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20,27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21,97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4,54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0,76</w:t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7,50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5,94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кухнями, душевыми и санузлами в секциях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16,66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18,06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6,24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</w:t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общими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ухнями, душевыми и санузлами на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этаже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16,66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18,06</w:t>
            </w:r>
            <w:r/>
          </w:p>
        </w:tc>
        <w:tc>
          <w:tcPr>
            <w:tcW w:w="1192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6,24</w:t>
            </w:r>
            <w:r/>
          </w:p>
        </w:tc>
        <w:tc>
          <w:tcPr>
            <w:tcW w:w="1483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8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7,83</w:t>
            </w:r>
            <w:r/>
          </w:p>
        </w:tc>
        <w:tc>
          <w:tcPr>
            <w:tcW w:w="1464" w:type="dxa"/>
            <w:textDirection w:val="lrTb"/>
            <w:noWrap w:val="false"/>
          </w:tcPr>
          <w:p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/>
          </w:p>
        </w:tc>
      </w:tr>
    </w:tbl>
    <w:p>
      <w:pPr>
        <w:jc w:val="both"/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0"/>
          <w:szCs w:val="20"/>
        </w:rPr>
        <w:t xml:space="preserve">*- разме</w:t>
      </w:r>
      <w:r>
        <w:rPr>
          <w:rFonts w:ascii="Times New Roman" w:hAnsi="Times New Roman" w:eastAsia="Calibri" w:cs="Times New Roman"/>
          <w:sz w:val="20"/>
          <w:szCs w:val="20"/>
        </w:rPr>
        <w:t xml:space="preserve">р платы за содержание жилого помещения определен как сумма платы за услуги и работы по управлению многоквартирным домом, содержанию и текущему ремонту общего имущества в многоквартирном доме, без включения в нее платы за коммунальные ресурсы, потребляемые </w:t>
      </w:r>
      <w:r>
        <w:rPr>
          <w:rFonts w:ascii="Times New Roman" w:hAnsi="Times New Roman" w:eastAsia="Calibri" w:cs="Times New Roman"/>
          <w:sz w:val="20"/>
          <w:szCs w:val="20"/>
        </w:rPr>
        <w:t xml:space="preserve">на</w:t>
      </w:r>
      <w:r>
        <w:rPr>
          <w:rFonts w:ascii="Times New Roman" w:hAnsi="Times New Roman" w:eastAsia="Calibri" w:cs="Times New Roman"/>
          <w:sz w:val="20"/>
          <w:szCs w:val="20"/>
        </w:rPr>
        <w:t xml:space="preserve"> обще</w:t>
      </w:r>
      <w:r>
        <w:rPr>
          <w:rFonts w:ascii="Times New Roman" w:hAnsi="Times New Roman" w:eastAsia="Calibri" w:cs="Times New Roman"/>
          <w:sz w:val="20"/>
          <w:szCs w:val="20"/>
        </w:rPr>
        <w:t xml:space="preserve">домов</w:t>
      </w:r>
      <w:r>
        <w:rPr>
          <w:rFonts w:ascii="Times New Roman" w:hAnsi="Times New Roman" w:eastAsia="Calibri" w:cs="Times New Roman"/>
          <w:sz w:val="20"/>
          <w:szCs w:val="20"/>
        </w:rPr>
        <w:t xml:space="preserve">ые</w:t>
      </w:r>
      <w:r>
        <w:rPr>
          <w:rFonts w:ascii="Times New Roman" w:hAnsi="Times New Roman" w:eastAsia="Calibri" w:cs="Times New Roman"/>
          <w:sz w:val="20"/>
          <w:szCs w:val="20"/>
        </w:rPr>
        <w:t xml:space="preserve"> </w:t>
      </w:r>
      <w:r>
        <w:rPr>
          <w:rFonts w:ascii="Times New Roman" w:hAnsi="Times New Roman" w:eastAsia="Calibri" w:cs="Times New Roman"/>
          <w:sz w:val="20"/>
          <w:szCs w:val="20"/>
        </w:rPr>
        <w:t xml:space="preserve">нужды</w:t>
      </w:r>
      <w:r>
        <w:rPr>
          <w:rFonts w:ascii="Times New Roman" w:hAnsi="Times New Roman" w:eastAsia="Calibri" w:cs="Times New Roman"/>
          <w:sz w:val="20"/>
          <w:szCs w:val="20"/>
        </w:rPr>
        <w:t xml:space="preserve"> в многоквартирном доме,</w:t>
      </w:r>
      <w:r>
        <w:rPr>
          <w:rFonts w:ascii="Times New Roman" w:hAnsi="Times New Roman" w:eastAsia="Calibri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и без учета расходов </w:t>
      </w:r>
      <w:r>
        <w:rPr>
          <w:rFonts w:ascii="Times New Roman" w:hAnsi="Times New Roman" w:cs="Times New Roman"/>
          <w:bCs/>
          <w:sz w:val="20"/>
          <w:szCs w:val="20"/>
        </w:rPr>
        <w:t xml:space="preserve">на </w:t>
      </w:r>
      <w:r>
        <w:rPr>
          <w:rFonts w:ascii="Times New Roman" w:hAnsi="Times New Roman" w:cs="Times New Roman"/>
          <w:bCs/>
          <w:sz w:val="20"/>
          <w:szCs w:val="20"/>
        </w:rPr>
        <w:t xml:space="preserve">установку </w:t>
      </w:r>
      <w:r>
        <w:rPr>
          <w:rFonts w:ascii="Times New Roman" w:hAnsi="Times New Roman" w:cs="Times New Roman"/>
          <w:bCs/>
          <w:sz w:val="20"/>
          <w:szCs w:val="20"/>
        </w:rPr>
        <w:t xml:space="preserve">или </w:t>
      </w:r>
      <w:r>
        <w:rPr>
          <w:rFonts w:ascii="Times New Roman" w:hAnsi="Times New Roman" w:cs="Times New Roman"/>
          <w:bCs/>
          <w:sz w:val="20"/>
          <w:szCs w:val="20"/>
        </w:rPr>
        <w:t xml:space="preserve">замену </w:t>
      </w:r>
      <w:r>
        <w:rPr>
          <w:rFonts w:ascii="Times New Roman" w:hAnsi="Times New Roman" w:cs="Times New Roman"/>
          <w:bCs/>
          <w:sz w:val="20"/>
          <w:szCs w:val="20"/>
        </w:rPr>
        <w:t xml:space="preserve">общедомовых приборов учета</w:t>
      </w:r>
      <w:r>
        <w:rPr>
          <w:rFonts w:ascii="Times New Roman" w:hAnsi="Times New Roman" w:cs="Times New Roman"/>
          <w:bCs/>
          <w:sz w:val="20"/>
          <w:szCs w:val="20"/>
        </w:rPr>
        <w:t xml:space="preserve">,</w:t>
      </w:r>
      <w:r>
        <w:rPr>
          <w:rFonts w:ascii="Times New Roman" w:hAnsi="Times New Roman" w:eastAsia="Calibri" w:cs="Times New Roman"/>
          <w:sz w:val="20"/>
          <w:szCs w:val="20"/>
        </w:rPr>
        <w:t xml:space="preserve"> определяемый как отношение суммы платы за содержание жилого помещения в однотипных многоквартирных домах к количес</w:t>
      </w:r>
      <w:r>
        <w:rPr>
          <w:rFonts w:ascii="Times New Roman" w:hAnsi="Times New Roman" w:eastAsia="Calibri" w:cs="Times New Roman"/>
          <w:sz w:val="20"/>
          <w:szCs w:val="20"/>
        </w:rPr>
        <w:t xml:space="preserve">тву таких многоквартирных домов. </w:t>
      </w:r>
      <w:r>
        <w:rPr>
          <w:rFonts w:ascii="Times New Roman" w:hAnsi="Times New Roman" w:eastAsia="Calibri" w:cs="Times New Roman"/>
          <w:sz w:val="20"/>
          <w:szCs w:val="20"/>
        </w:rPr>
        <w:t xml:space="preserve"> </w:t>
      </w:r>
      <w:r/>
    </w:p>
    <w:p>
      <w:pPr>
        <w:ind w:left="9072" w:right="-1" w:firstLine="900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sectPr>
          <w:footnotePr/>
          <w:endnotePr/>
          <w:type w:val="nextPage"/>
          <w:pgSz w:w="16838" w:h="11906" w:orient="landscape"/>
          <w:pgMar w:top="1276" w:right="567" w:bottom="425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/>
    </w:p>
    <w:p>
      <w:pPr>
        <w:ind w:left="5387" w:right="140" w:firstLine="1183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425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NewRomanPSMT">
    <w:panose1 w:val="02000603000000000000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04684974"/>
      <w:docPartObj>
        <w:docPartGallery w:val="Page Numbers (Top of Page)"/>
        <w:docPartUnique w:val="true"/>
      </w:docPartObj>
      <w:rPr/>
    </w:sdtPr>
    <w:sdtContent>
      <w:p>
        <w:pPr>
          <w:pStyle w:val="70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70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jc w:val="center"/>
    </w:pPr>
    <w:r/>
    <w:r/>
  </w:p>
  <w:p>
    <w:pPr>
      <w:pStyle w:val="70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space"/>
      <w:lvlText w:val="%1."/>
      <w:lvlJc w:val="center"/>
      <w:pPr>
        <w:ind w:left="0" w:firstLine="0"/>
      </w:pPr>
      <w:rPr>
        <w:rFonts w:hint="default" w:ascii="PT Astra Serif" w:hAnsi="PT Astra Serif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1">
      <w:start w:val="1"/>
      <w:numFmt w:val="decimal"/>
      <w:lvlRestart w:val="0"/>
      <w:isLgl w:val="false"/>
      <w:suff w:val="space"/>
      <w:lvlText w:val="%2."/>
      <w:lvlJc w:val="center"/>
      <w:pPr>
        <w:ind w:left="0" w:firstLine="0"/>
      </w:pPr>
      <w:rPr>
        <w:rFonts w:hint="default" w:ascii="PT Astra Serif" w:hAnsi="PT Astra Serif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2">
      <w:start w:val="1"/>
      <w:numFmt w:val="decimal"/>
      <w:lvlRestart w:val="0"/>
      <w:isLgl w:val="false"/>
      <w:suff w:val="space"/>
      <w:lvlText w:val="%2.%3."/>
      <w:lvlJc w:val="left"/>
      <w:pPr>
        <w:ind w:left="0" w:firstLine="709"/>
      </w:pPr>
      <w:rPr>
        <w:rFonts w:hint="default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3">
      <w:start w:val="1"/>
      <w:numFmt w:val="decimal"/>
      <w:lvlRestart w:val="0"/>
      <w:isLgl w:val="false"/>
      <w:suff w:val="space"/>
      <w:lvlText w:val="%4)"/>
      <w:lvlJc w:val="left"/>
      <w:pPr>
        <w:ind w:left="0" w:firstLine="709"/>
      </w:pPr>
      <w:rPr>
        <w:rFonts w:hint="default" w:ascii="PT Astra Serif" w:hAnsi="PT Astra Serif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4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  <w:color w:val="auto"/>
      </w:rPr>
    </w:lvl>
    <w:lvl w:ilvl="5">
      <w:start w:val="1"/>
      <w:numFmt w:val="russianLower"/>
      <w:lvlRestart w:val="0"/>
      <w:isLgl w:val="false"/>
      <w:suff w:val="space"/>
      <w:lvlText w:val="%6)"/>
      <w:lvlJc w:val="left"/>
      <w:pPr>
        <w:ind w:left="0" w:firstLine="709"/>
      </w:pPr>
      <w:rPr>
        <w:rFonts w:hint="default" w:ascii="PT Astra Serif" w:hAnsi="PT Astra Serif"/>
        <w:i w:val="0"/>
      </w:rPr>
    </w:lvl>
    <w:lvl w:ilvl="6">
      <w:start w:val="1"/>
      <w:numFmt w:val="decimal"/>
      <w:lvlRestart w:val="0"/>
      <w:pStyle w:val="694"/>
      <w:isLgl w:val="false"/>
      <w:suff w:val="space"/>
      <w:lvlText w:val="%7."/>
      <w:lvlJc w:val="left"/>
      <w:pPr>
        <w:ind w:left="0" w:firstLine="709"/>
      </w:pPr>
      <w:rPr>
        <w:rFonts w:hint="default" w:ascii="PT Astra Serif" w:hAnsi="PT Astra Serif"/>
        <w:b w:val="0"/>
        <w:i w:val="0"/>
        <w:sz w:val="24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4" w:hanging="109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suff w:val="tab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4" w:hanging="109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5"/>
    <w:link w:val="69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2"/>
    <w:next w:val="69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2"/>
    <w:next w:val="69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2"/>
    <w:next w:val="69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2"/>
    <w:next w:val="69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2"/>
    <w:next w:val="69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5"/>
    <w:link w:val="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5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2"/>
    <w:next w:val="69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2"/>
    <w:next w:val="69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2"/>
    <w:next w:val="69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5"/>
    <w:link w:val="34"/>
    <w:uiPriority w:val="10"/>
    <w:rPr>
      <w:sz w:val="48"/>
      <w:szCs w:val="48"/>
    </w:rPr>
  </w:style>
  <w:style w:type="paragraph" w:styleId="36">
    <w:name w:val="Subtitle"/>
    <w:basedOn w:val="692"/>
    <w:next w:val="69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5"/>
    <w:link w:val="36"/>
    <w:uiPriority w:val="11"/>
    <w:rPr>
      <w:sz w:val="24"/>
      <w:szCs w:val="24"/>
    </w:rPr>
  </w:style>
  <w:style w:type="paragraph" w:styleId="38">
    <w:name w:val="Quote"/>
    <w:basedOn w:val="692"/>
    <w:next w:val="69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2"/>
    <w:next w:val="69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5"/>
    <w:link w:val="701"/>
    <w:uiPriority w:val="99"/>
  </w:style>
  <w:style w:type="character" w:styleId="45">
    <w:name w:val="Footer Char"/>
    <w:basedOn w:val="695"/>
    <w:link w:val="703"/>
    <w:uiPriority w:val="99"/>
  </w:style>
  <w:style w:type="paragraph" w:styleId="46">
    <w:name w:val="Caption"/>
    <w:basedOn w:val="692"/>
    <w:next w:val="6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3"/>
    <w:uiPriority w:val="99"/>
  </w:style>
  <w:style w:type="table" w:styleId="49">
    <w:name w:val="Table Grid Light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5"/>
    <w:uiPriority w:val="99"/>
    <w:unhideWhenUsed/>
    <w:rPr>
      <w:vertAlign w:val="superscript"/>
    </w:rPr>
  </w:style>
  <w:style w:type="paragraph" w:styleId="178">
    <w:name w:val="endnote text"/>
    <w:basedOn w:val="69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5"/>
    <w:uiPriority w:val="99"/>
    <w:semiHidden/>
    <w:unhideWhenUsed/>
    <w:rPr>
      <w:vertAlign w:val="superscript"/>
    </w:rPr>
  </w:style>
  <w:style w:type="paragraph" w:styleId="181">
    <w:name w:val="toc 1"/>
    <w:basedOn w:val="692"/>
    <w:next w:val="69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2"/>
    <w:next w:val="69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2"/>
    <w:next w:val="69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2"/>
    <w:next w:val="69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2"/>
    <w:next w:val="69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2"/>
    <w:next w:val="69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2"/>
    <w:next w:val="69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2"/>
    <w:next w:val="69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2"/>
    <w:next w:val="69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2"/>
    <w:next w:val="692"/>
    <w:uiPriority w:val="99"/>
    <w:unhideWhenUsed/>
    <w:pPr>
      <w:spacing w:after="0" w:afterAutospacing="0"/>
    </w:pPr>
  </w:style>
  <w:style w:type="paragraph" w:styleId="692" w:default="1">
    <w:name w:val="Normal"/>
    <w:qFormat/>
  </w:style>
  <w:style w:type="paragraph" w:styleId="693">
    <w:name w:val="Heading 1"/>
    <w:basedOn w:val="692"/>
    <w:next w:val="692"/>
    <w:link w:val="708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94">
    <w:name w:val="Heading 7"/>
    <w:basedOn w:val="692"/>
    <w:next w:val="692"/>
    <w:link w:val="706"/>
    <w:uiPriority w:val="9"/>
    <w:unhideWhenUsed/>
    <w:qFormat/>
    <w:pPr>
      <w:numPr>
        <w:ilvl w:val="6"/>
        <w:numId w:val="2"/>
      </w:numPr>
      <w:jc w:val="both"/>
      <w:spacing w:after="0" w:line="240" w:lineRule="auto"/>
      <w:widowControl w:val="off"/>
      <w:outlineLvl w:val="6"/>
    </w:pPr>
    <w:rPr>
      <w:rFonts w:ascii="PT Astra Serif" w:hAnsi="PT Astra Serif" w:eastAsiaTheme="majorEastAsia" w:cstheme="majorBidi"/>
      <w:iCs/>
      <w:sz w:val="24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>
    <w:name w:val="List Paragraph"/>
    <w:basedOn w:val="692"/>
    <w:uiPriority w:val="34"/>
    <w:qFormat/>
    <w:pPr>
      <w:contextualSpacing/>
      <w:ind w:left="720"/>
    </w:pPr>
  </w:style>
  <w:style w:type="paragraph" w:styleId="699">
    <w:name w:val="Balloon Text"/>
    <w:basedOn w:val="692"/>
    <w:link w:val="70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00" w:customStyle="1">
    <w:name w:val="Текст выноски Знак"/>
    <w:basedOn w:val="695"/>
    <w:link w:val="699"/>
    <w:uiPriority w:val="99"/>
    <w:semiHidden/>
    <w:rPr>
      <w:rFonts w:ascii="Tahoma" w:hAnsi="Tahoma" w:cs="Tahoma"/>
      <w:sz w:val="16"/>
      <w:szCs w:val="16"/>
    </w:rPr>
  </w:style>
  <w:style w:type="paragraph" w:styleId="701">
    <w:name w:val="Header"/>
    <w:basedOn w:val="692"/>
    <w:link w:val="7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2" w:customStyle="1">
    <w:name w:val="Верхний колонтитул Знак"/>
    <w:basedOn w:val="695"/>
    <w:link w:val="701"/>
    <w:uiPriority w:val="99"/>
  </w:style>
  <w:style w:type="paragraph" w:styleId="703">
    <w:name w:val="Footer"/>
    <w:basedOn w:val="692"/>
    <w:link w:val="70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4" w:customStyle="1">
    <w:name w:val="Нижний колонтитул Знак"/>
    <w:basedOn w:val="695"/>
    <w:link w:val="703"/>
    <w:uiPriority w:val="99"/>
  </w:style>
  <w:style w:type="table" w:styleId="705">
    <w:name w:val="Table Grid"/>
    <w:basedOn w:val="6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6" w:customStyle="1">
    <w:name w:val="Заголовок 7 Знак"/>
    <w:basedOn w:val="695"/>
    <w:link w:val="694"/>
    <w:uiPriority w:val="9"/>
    <w:rPr>
      <w:rFonts w:ascii="PT Astra Serif" w:hAnsi="PT Astra Serif" w:eastAsiaTheme="majorEastAsia" w:cstheme="majorBidi"/>
      <w:iCs/>
      <w:sz w:val="24"/>
    </w:rPr>
  </w:style>
  <w:style w:type="table" w:styleId="707" w:customStyle="1">
    <w:name w:val="Сетка таблицы2"/>
    <w:basedOn w:val="696"/>
    <w:next w:val="70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8" w:customStyle="1">
    <w:name w:val="Заголовок 1 Знак"/>
    <w:basedOn w:val="695"/>
    <w:link w:val="69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709" w:customStyle="1">
    <w:name w:val="Основной текст (2) Exact"/>
    <w:basedOn w:val="695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styleId="710" w:customStyle="1">
    <w:name w:val="Основной текст (2) + Не полужирный;Интервал 0 pt Exact"/>
    <w:basedOn w:val="711"/>
    <w:rPr>
      <w:rFonts w:ascii="Times New Roman" w:hAnsi="Times New Roman" w:eastAsia="Times New Roman" w:cs="Times New Roman"/>
      <w:b/>
      <w:bCs/>
      <w:spacing w:val="5"/>
      <w:sz w:val="24"/>
      <w:szCs w:val="24"/>
      <w:shd w:val="clear" w:color="auto" w:fill="ffffff"/>
    </w:rPr>
  </w:style>
  <w:style w:type="character" w:styleId="711" w:customStyle="1">
    <w:name w:val="Основной текст (2)_"/>
    <w:basedOn w:val="695"/>
    <w:link w:val="714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character" w:styleId="712" w:customStyle="1">
    <w:name w:val="Основной текст_"/>
    <w:basedOn w:val="695"/>
    <w:link w:val="715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713" w:customStyle="1">
    <w:name w:val="Основной текст + 12 pt;Полужирный"/>
    <w:basedOn w:val="712"/>
    <w:rPr>
      <w:rFonts w:ascii="Times New Roman" w:hAnsi="Times New Roman" w:eastAsia="Times New Roman" w:cs="Times New Roman"/>
      <w:b/>
      <w:bC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paragraph" w:styleId="714" w:customStyle="1">
    <w:name w:val="Основной текст (2)"/>
    <w:basedOn w:val="692"/>
    <w:link w:val="711"/>
    <w:pPr>
      <w:jc w:val="center"/>
      <w:spacing w:after="240" w:line="317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715" w:customStyle="1">
    <w:name w:val="Основной текст2"/>
    <w:basedOn w:val="692"/>
    <w:link w:val="712"/>
    <w:pPr>
      <w:jc w:val="both"/>
      <w:spacing w:before="420" w:after="102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71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table" w:styleId="717" w:customStyle="1">
    <w:name w:val="Сетка таблицы1"/>
    <w:basedOn w:val="696"/>
    <w:next w:val="70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18" w:customStyle="1">
    <w:name w:val="ConsPlusTitle"/>
    <w:uiPriority w:val="99"/>
    <w:pPr>
      <w:spacing w:after="0" w:line="240" w:lineRule="auto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character" w:styleId="719">
    <w:name w:val="Hyperlink"/>
    <w:basedOn w:val="695"/>
    <w:uiPriority w:val="99"/>
    <w:unhideWhenUsed/>
    <w:rPr>
      <w:color w:val="0000ff" w:themeColor="hyperlink"/>
      <w:u w:val="single"/>
    </w:rPr>
  </w:style>
  <w:style w:type="character" w:styleId="720" w:customStyle="1">
    <w:name w:val="fontstyle01"/>
    <w:basedOn w:val="695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belgorodskij-r31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15CA-8DB9-434C-A949-20E3DEC3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Федосов Игорь Владимирович</dc:creator>
  <cp:keywords/>
  <dc:description/>
  <cp:revision>29</cp:revision>
  <dcterms:created xsi:type="dcterms:W3CDTF">2022-09-08T07:07:00Z</dcterms:created>
  <dcterms:modified xsi:type="dcterms:W3CDTF">2025-02-07T09:09:36Z</dcterms:modified>
</cp:coreProperties>
</file>