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right="-143" w:hanging="142"/>
        <w:jc w:val="center"/>
        <w:rPr>
          <w:rFonts w:ascii="Times New Roman" w:hAnsi="Times New Roman" w:eastAsia="Calibri" w:cs="Times New Roman"/>
          <w:b/>
          <w:sz w:val="26"/>
          <w:szCs w:val="26"/>
          <w:lang w:eastAsia="ru-RU"/>
        </w:rPr>
      </w:pPr>
      <w:r>
        <w:rPr>
          <w:rFonts w:ascii="Times New Roman" w:hAnsi="Times New Roman" w:eastAsia="Calibri" w:cs="Times New Roman"/>
          <w:b/>
          <w:sz w:val="26"/>
          <w:szCs w:val="26"/>
          <w:lang w:eastAsia="ru-RU"/>
        </w:rPr>
        <w:t xml:space="preserve">Анкета</w:t>
      </w:r>
      <w:r/>
    </w:p>
    <w:p>
      <w:pPr>
        <w:ind w:right="-143" w:hanging="142"/>
        <w:jc w:val="center"/>
        <w:rPr>
          <w:rFonts w:ascii="Times New Roman" w:hAnsi="Times New Roman" w:eastAsia="Calibri" w:cs="Times New Roman"/>
          <w:b/>
          <w:sz w:val="26"/>
          <w:szCs w:val="26"/>
          <w:lang w:eastAsia="ru-RU"/>
        </w:rPr>
      </w:pPr>
      <w:r>
        <w:rPr>
          <w:rFonts w:ascii="Times New Roman" w:hAnsi="Times New Roman" w:eastAsia="Calibri" w:cs="Times New Roman"/>
          <w:b/>
          <w:sz w:val="26"/>
          <w:szCs w:val="26"/>
          <w:lang w:eastAsia="ru-RU"/>
        </w:rPr>
        <w:t xml:space="preserve">участника</w:t>
      </w:r>
      <w:r>
        <w:rPr>
          <w:rFonts w:ascii="Times New Roman" w:hAnsi="Times New Roman" w:eastAsia="Calibri" w:cs="Times New Roman"/>
          <w:b/>
          <w:sz w:val="26"/>
          <w:szCs w:val="26"/>
          <w:lang w:eastAsia="ru-RU"/>
        </w:rPr>
        <w:t xml:space="preserve"> публичных консультаций, проводимых </w:t>
      </w:r>
      <w:r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  <w:t xml:space="preserve">посредством сбора замечаний и </w:t>
      </w:r>
      <w:r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  <w:t xml:space="preserve">предложений организаций и граждан в рамках анализа проекта муниципального нормативного правового акта на предмет его влияния на конкуренцию</w:t>
      </w:r>
      <w:r/>
    </w:p>
    <w:p>
      <w:pPr>
        <w:jc w:val="center"/>
        <w:rPr>
          <w:rFonts w:ascii="Times New Roman" w:hAnsi="Times New Roman" w:eastAsia="Calibri" w:cs="Times New Roman"/>
          <w:sz w:val="26"/>
          <w:szCs w:val="26"/>
          <w:highlight w:val="yellow"/>
          <w:lang w:eastAsia="ru-RU"/>
        </w:rPr>
      </w:pPr>
      <w:r>
        <w:rPr>
          <w:rFonts w:ascii="Times New Roman" w:hAnsi="Times New Roman" w:eastAsia="Calibri" w:cs="Times New Roman"/>
          <w:sz w:val="26"/>
          <w:szCs w:val="26"/>
          <w:highlight w:val="yellow"/>
          <w:lang w:eastAsia="ru-RU"/>
        </w:rPr>
      </w:r>
      <w:r/>
    </w:p>
    <w:p>
      <w:pPr>
        <w:numPr>
          <w:ilvl w:val="0"/>
          <w:numId w:val="1"/>
        </w:numPr>
        <w:contextualSpacing/>
        <w:rPr>
          <w:rFonts w:ascii="Times New Roman" w:hAnsi="Times New Roman" w:eastAsia="Calibri" w:cs="Times New Roman"/>
          <w:b/>
          <w:sz w:val="26"/>
          <w:szCs w:val="26"/>
          <w:lang w:eastAsia="ru-RU"/>
        </w:rPr>
      </w:pPr>
      <w:r>
        <w:rPr>
          <w:rFonts w:ascii="Times New Roman" w:hAnsi="Times New Roman" w:eastAsia="Calibri" w:cs="Times New Roman"/>
          <w:b/>
          <w:sz w:val="26"/>
          <w:szCs w:val="26"/>
          <w:lang w:eastAsia="ru-RU"/>
        </w:rPr>
        <w:t xml:space="preserve">Общие сведения об участнике публичных консультаций</w:t>
      </w:r>
      <w:r/>
    </w:p>
    <w:tbl>
      <w:tblPr>
        <w:tblW w:w="98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6629"/>
        <w:gridCol w:w="3260"/>
      </w:tblGrid>
      <w:tr>
        <w:trPr/>
        <w:tc>
          <w:tcPr>
            <w:shd w:val="clear" w:color="auto" w:fill="auto"/>
            <w:tcW w:w="662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Наименование хозяйствующего субъекта (организации)</w:t>
            </w:r>
            <w:r/>
          </w:p>
        </w:tc>
        <w:tc>
          <w:tcPr>
            <w:shd w:val="clear" w:color="auto" w:fill="auto"/>
            <w:tcW w:w="326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/>
          </w:p>
        </w:tc>
      </w:tr>
      <w:tr>
        <w:trPr/>
        <w:tc>
          <w:tcPr>
            <w:shd w:val="clear" w:color="auto" w:fill="auto"/>
            <w:tcW w:w="662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Сфера деятельности хозяйствующего субъекта (организации)</w:t>
            </w:r>
            <w:r/>
          </w:p>
        </w:tc>
        <w:tc>
          <w:tcPr>
            <w:shd w:val="clear" w:color="auto" w:fill="auto"/>
            <w:tcW w:w="326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/>
          </w:p>
        </w:tc>
      </w:tr>
      <w:tr>
        <w:trPr/>
        <w:tc>
          <w:tcPr>
            <w:shd w:val="clear" w:color="auto" w:fill="auto"/>
            <w:tcW w:w="662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ИНН хозяйствующего субъекта (организации)</w:t>
            </w:r>
            <w:r/>
          </w:p>
        </w:tc>
        <w:tc>
          <w:tcPr>
            <w:shd w:val="clear" w:color="auto" w:fill="auto"/>
            <w:tcW w:w="326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/>
          </w:p>
        </w:tc>
      </w:tr>
      <w:tr>
        <w:trPr/>
        <w:tc>
          <w:tcPr>
            <w:shd w:val="clear" w:color="auto" w:fill="auto"/>
            <w:tcW w:w="662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ФИО участника публичных консультаций</w:t>
            </w:r>
            <w:r/>
          </w:p>
        </w:tc>
        <w:tc>
          <w:tcPr>
            <w:shd w:val="clear" w:color="auto" w:fill="auto"/>
            <w:tcW w:w="326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/>
          </w:p>
        </w:tc>
      </w:tr>
      <w:tr>
        <w:trPr/>
        <w:tc>
          <w:tcPr>
            <w:shd w:val="clear" w:color="auto" w:fill="auto"/>
            <w:tcW w:w="662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Контактный телефон</w:t>
            </w:r>
            <w:r/>
          </w:p>
        </w:tc>
        <w:tc>
          <w:tcPr>
            <w:shd w:val="clear" w:color="auto" w:fill="auto"/>
            <w:tcW w:w="326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/>
          </w:p>
        </w:tc>
      </w:tr>
      <w:tr>
        <w:trPr/>
        <w:tc>
          <w:tcPr>
            <w:shd w:val="clear" w:color="auto" w:fill="auto"/>
            <w:tcW w:w="662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Адрес электронной почты</w:t>
            </w:r>
            <w:r/>
          </w:p>
        </w:tc>
        <w:tc>
          <w:tcPr>
            <w:shd w:val="clear" w:color="auto" w:fill="auto"/>
            <w:tcW w:w="326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/>
          </w:p>
        </w:tc>
      </w:tr>
    </w:tbl>
    <w:p>
      <w:pPr>
        <w:jc w:val="center"/>
        <w:rPr>
          <w:rFonts w:ascii="Times New Roman" w:hAnsi="Times New Roman" w:eastAsia="Calibri" w:cs="Times New Roman"/>
          <w:sz w:val="16"/>
          <w:szCs w:val="16"/>
          <w:highlight w:val="yellow"/>
          <w:lang w:eastAsia="ru-RU"/>
        </w:rPr>
      </w:pPr>
      <w:r>
        <w:rPr>
          <w:rFonts w:ascii="Times New Roman" w:hAnsi="Times New Roman" w:eastAsia="Calibri" w:cs="Times New Roman"/>
          <w:sz w:val="28"/>
          <w:szCs w:val="28"/>
          <w:highlight w:val="yellow"/>
          <w:lang w:eastAsia="ru-RU"/>
        </w:rPr>
        <w:t xml:space="preserve"> </w:t>
      </w:r>
      <w:r/>
    </w:p>
    <w:p>
      <w:pPr>
        <w:jc w:val="center"/>
        <w:rPr>
          <w:rFonts w:ascii="Times New Roman" w:hAnsi="Times New Roman" w:eastAsia="Calibri" w:cs="Times New Roman"/>
          <w:sz w:val="26"/>
          <w:szCs w:val="26"/>
          <w:lang w:eastAsia="ru-RU"/>
        </w:rPr>
      </w:pPr>
      <w:r>
        <w:rPr>
          <w:rFonts w:ascii="Times New Roman" w:hAnsi="Times New Roman" w:eastAsia="Calibri" w:cs="Times New Roman"/>
          <w:b/>
          <w:sz w:val="26"/>
          <w:szCs w:val="26"/>
          <w:lang w:eastAsia="ru-RU"/>
        </w:rPr>
        <w:t xml:space="preserve">2. Общие сведения о проекте нормативного правового акта</w:t>
      </w:r>
      <w:r/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854"/>
      </w:tblGrid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ind w:right="-143" w:hanging="142"/>
              <w:jc w:val="center"/>
              <w:rPr>
                <w:rFonts w:ascii="Times New Roman" w:hAnsi="Times New Roman" w:eastAsia="Calibri" w:cs="Times New Roman"/>
                <w:b/>
                <w:bCs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  <w:highlight w:val="yellow"/>
                <w:lang w:eastAsia="ru-RU"/>
              </w:rPr>
              <w:t xml:space="preserve">Проект постановления адм</w:t>
            </w: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  <w:highlight w:val="yellow"/>
                <w:lang w:eastAsia="ru-RU"/>
              </w:rPr>
              <w:t xml:space="preserve">инистрации Белгородского района Белгородской области      </w:t>
            </w: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  <w:highlight w:val="none"/>
                <w:lang w:eastAsia="ru-RU"/>
              </w:rPr>
              <w:br/>
            </w:r>
            <w:r>
              <w:rPr>
                <w:rFonts w:ascii="Times New Roman" w:hAnsi="Times New Roman" w:eastAsia="Calibri" w:cs="Times New Roman"/>
                <w:b/>
                <w:bCs/>
                <w:sz w:val="26"/>
                <w:szCs w:val="26"/>
                <w:lang w:eastAsia="ru-RU"/>
              </w:rPr>
              <w:t xml:space="preserve">О</w:t>
            </w:r>
            <w:r>
              <w:rPr>
                <w:rFonts w:ascii="Times New Roman" w:hAnsi="Times New Roman" w:eastAsia="Calibri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b/>
                <w:bCs/>
                <w:sz w:val="26"/>
                <w:szCs w:val="26"/>
                <w:lang w:eastAsia="ru-RU"/>
              </w:rPr>
              <w:t xml:space="preserve">внесени</w:t>
            </w:r>
            <w:r>
              <w:rPr>
                <w:rFonts w:ascii="Times New Roman" w:hAnsi="Times New Roman" w:eastAsia="Calibri" w:cs="Times New Roman"/>
                <w:b/>
                <w:bCs/>
                <w:sz w:val="26"/>
                <w:szCs w:val="26"/>
                <w:lang w:eastAsia="ru-RU"/>
              </w:rPr>
              <w:t xml:space="preserve">и</w:t>
            </w:r>
            <w:r>
              <w:rPr>
                <w:rFonts w:ascii="Times New Roman" w:hAnsi="Times New Roman" w:eastAsia="Calibri" w:cs="Times New Roman"/>
                <w:b/>
                <w:bCs/>
                <w:sz w:val="26"/>
                <w:szCs w:val="26"/>
                <w:lang w:eastAsia="ru-RU"/>
              </w:rPr>
              <w:t xml:space="preserve"> изменений в постановление</w:t>
            </w:r>
            <w:r>
              <w:rPr>
                <w:rFonts w:ascii="Times New Roman" w:hAnsi="Times New Roman" w:eastAsia="Calibri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b/>
                <w:bCs/>
                <w:sz w:val="26"/>
                <w:szCs w:val="26"/>
                <w:lang w:eastAsia="ru-RU"/>
              </w:rPr>
              <w:t xml:space="preserve">администрации Белгородского р</w:t>
            </w:r>
            <w:r>
              <w:rPr>
                <w:rFonts w:ascii="Times New Roman" w:hAnsi="Times New Roman" w:eastAsia="Calibri" w:cs="Times New Roman"/>
                <w:b/>
                <w:bCs/>
                <w:sz w:val="26"/>
                <w:szCs w:val="26"/>
                <w:lang w:eastAsia="ru-RU"/>
              </w:rPr>
              <w:t xml:space="preserve">айона Белгородской области от </w:t>
            </w:r>
            <w:r>
              <w:rPr>
                <w:rFonts w:ascii="Times New Roman" w:hAnsi="Times New Roman" w:eastAsia="Calibri" w:cs="Times New Roman"/>
                <w:b/>
                <w:bCs/>
                <w:sz w:val="26"/>
                <w:szCs w:val="26"/>
                <w:lang w:eastAsia="ru-RU"/>
              </w:rPr>
              <w:t xml:space="preserve">27</w:t>
            </w:r>
            <w:r>
              <w:rPr>
                <w:rFonts w:ascii="Times New Roman" w:hAnsi="Times New Roman" w:eastAsia="Calibri" w:cs="Times New Roman"/>
                <w:b/>
                <w:bCs/>
                <w:sz w:val="26"/>
                <w:szCs w:val="26"/>
                <w:lang w:eastAsia="ru-RU"/>
              </w:rPr>
              <w:t xml:space="preserve"> сентября 201</w:t>
            </w:r>
            <w:r>
              <w:rPr>
                <w:rFonts w:ascii="Times New Roman" w:hAnsi="Times New Roman" w:eastAsia="Calibri" w:cs="Times New Roman"/>
                <w:b/>
                <w:bCs/>
                <w:sz w:val="26"/>
                <w:szCs w:val="26"/>
                <w:lang w:eastAsia="ru-RU"/>
              </w:rPr>
              <w:t xml:space="preserve">3</w:t>
            </w:r>
            <w:r>
              <w:rPr>
                <w:rFonts w:ascii="Times New Roman" w:hAnsi="Times New Roman" w:eastAsia="Calibri" w:cs="Times New Roman"/>
                <w:b/>
                <w:bCs/>
                <w:sz w:val="26"/>
                <w:szCs w:val="26"/>
                <w:lang w:eastAsia="ru-RU"/>
              </w:rPr>
              <w:t xml:space="preserve"> г</w:t>
            </w:r>
            <w:r>
              <w:rPr>
                <w:rFonts w:ascii="Times New Roman" w:hAnsi="Times New Roman" w:eastAsia="Calibri" w:cs="Times New Roman"/>
                <w:b/>
                <w:bCs/>
                <w:sz w:val="26"/>
                <w:szCs w:val="26"/>
                <w:lang w:eastAsia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b/>
                <w:bCs/>
                <w:sz w:val="26"/>
                <w:szCs w:val="26"/>
                <w:lang w:eastAsia="ru-RU"/>
              </w:rPr>
              <w:t xml:space="preserve">№ 169</w:t>
            </w:r>
            <w:r>
              <w:rPr>
                <w:rFonts w:ascii="Times New Roman" w:hAnsi="Times New Roman" w:eastAsia="Calibri" w:cs="Times New Roman"/>
                <w:b/>
                <w:bCs/>
                <w:sz w:val="26"/>
                <w:szCs w:val="26"/>
                <w:lang w:eastAsia="ru-RU"/>
              </w:rPr>
              <w:t xml:space="preserve"> «О способе формирования фонда капитального ремонта многоквартирных домов» </w:t>
            </w:r>
            <w:r>
              <w:rPr>
                <w:rFonts w:ascii="Times New Roman" w:hAnsi="Times New Roman" w:eastAsia="Calibri" w:cs="Times New Roman"/>
                <w:b/>
                <w:bCs/>
                <w:sz w:val="26"/>
                <w:szCs w:val="26"/>
                <w:lang w:eastAsia="ru-RU"/>
              </w:rPr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1. Могут ли положения проекта муниципального нормативного правового акта оказать влияние на конкуренцию на рынках товаров, работ, услуг Белгородского района?</w:t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Белгородского района?</w:t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3.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Какие положения проекта муниципального нормативного правового акта могут привести к недопущению, ограничению или устранению конкуренции на рынках товаров, работ, услуг Белгородского района?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Укажите номер подпункта, пункта, части, статьи проекта муниципального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нормативного правового акта и их содержание.</w:t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4. На каких рынках товаров, работ, услуг может ухудшиться состояние конкурентной среды в результате принятия муниципального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нормативного правового акта?</w:t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5. Какие положения антимонопольного законодательства могут быть нарушены?</w:t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7. Ваши замечания и предложения по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проекту муниципального нормативного правового акта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в целях учета требований антимонопольного законодательства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:</w:t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yellow"/>
                <w:lang w:eastAsia="ru-RU"/>
              </w:rPr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highlight w:val="white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  <w:lang w:eastAsia="ru-RU"/>
              </w:rPr>
              <w:t xml:space="preserve">Замечания и предложения принимаются по адресу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:</w:t>
            </w:r>
            <w: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white"/>
                <w:lang w:eastAsia="ru-RU"/>
              </w:rPr>
              <w:t xml:space="preserve">Шершнева ул., 1-а,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white"/>
                <w:lang w:eastAsia="ru-RU"/>
              </w:rPr>
              <w:t xml:space="preserve">каб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white"/>
                <w:lang w:eastAsia="ru-RU"/>
              </w:rPr>
              <w:t xml:space="preserve">.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white"/>
                <w:lang w:eastAsia="ru-RU"/>
              </w:rPr>
              <w:t xml:space="preserve">112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white"/>
                <w:lang w:eastAsia="ru-RU"/>
              </w:rPr>
              <w:t xml:space="preserve">, Белгород, 308007, а также по адресу электронной почты: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highlight w:val="white"/>
                <w:lang w:val="en-US" w:eastAsia="ru-RU"/>
              </w:rPr>
              <w:t xml:space="preserve">belrn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highlight w:val="white"/>
                <w:lang w:eastAsia="ru-RU"/>
              </w:rPr>
              <w:t xml:space="preserve">_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highlight w:val="white"/>
                <w:lang w:val="en-US" w:eastAsia="ru-RU"/>
              </w:rPr>
              <w:t xml:space="preserve">gkh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highlight w:val="white"/>
                <w:lang w:eastAsia="ru-RU"/>
              </w:rPr>
              <w:t xml:space="preserve">@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highlight w:val="white"/>
                <w:lang w:val="en-US" w:eastAsia="ru-RU"/>
              </w:rPr>
              <w:t xml:space="preserve">mail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highlight w:val="white"/>
                <w:lang w:eastAsia="ru-RU"/>
              </w:rPr>
              <w:t xml:space="preserve">.ru</w:t>
            </w:r>
            <w:r>
              <w:rPr>
                <w:highlight w:val="white"/>
              </w:rPr>
            </w:r>
            <w:r/>
          </w:p>
          <w:p>
            <w:pPr>
              <w:jc w:val="both"/>
              <w:rPr>
                <w:rFonts w:ascii="Times New Roman" w:hAnsi="Times New Roman" w:eastAsia="Calibri" w:cs="Times New Roman"/>
                <w:sz w:val="2"/>
                <w:szCs w:val="2"/>
                <w:highlight w:val="yellow"/>
                <w:lang w:eastAsia="ru-RU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white"/>
                <w:lang w:eastAsia="ru-RU"/>
              </w:rPr>
              <w:t xml:space="preserve">Сроки приема замечаний и предложений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yellow"/>
                <w:lang w:eastAsia="ru-RU"/>
              </w:rPr>
              <w:t xml:space="preserve">: с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yellow"/>
                <w:lang w:eastAsia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yellow"/>
                <w:lang w:eastAsia="ru-RU"/>
              </w:rPr>
              <w:t xml:space="preserve">04.03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yellow"/>
                <w:lang w:eastAsia="ru-RU"/>
              </w:rPr>
              <w:t xml:space="preserve">.202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yellow"/>
                <w:lang w:eastAsia="ru-RU"/>
              </w:rPr>
              <w:t xml:space="preserve">5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yellow"/>
                <w:lang w:eastAsia="ru-RU"/>
              </w:rPr>
              <w:t xml:space="preserve">по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none"/>
                <w:lang w:eastAsia="ru-RU"/>
              </w:rPr>
              <w:t xml:space="preserve">20.03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.2025</w:t>
            </w:r>
            <w:bookmarkStart w:id="0" w:name="_GoBack"/>
            <w:r/>
            <w:bookmarkEnd w:id="0"/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 </w:t>
            </w:r>
            <w:r/>
          </w:p>
        </w:tc>
      </w:tr>
    </w:tbl>
    <w:p>
      <w:pPr>
        <w:jc w:val="right"/>
        <w:rPr>
          <w:rFonts w:ascii="Times New Roman" w:hAnsi="Times New Roman" w:eastAsia="Calibri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Calibri" w:cs="Times New Roman"/>
          <w:b/>
          <w:sz w:val="28"/>
          <w:szCs w:val="28"/>
          <w:lang w:eastAsia="ru-RU"/>
        </w:rPr>
      </w:r>
      <w:r/>
    </w:p>
    <w:sectPr>
      <w:footnotePr/>
      <w:endnotePr/>
      <w:type w:val="nextPage"/>
      <w:pgSz w:w="11906" w:h="16838" w:orient="portrait"/>
      <w:pgMar w:top="1134" w:right="567" w:bottom="1134" w:left="1134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Segoe UI">
    <w:panose1 w:val="020B0502040504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8">
    <w:name w:val="Heading 1"/>
    <w:basedOn w:val="815"/>
    <w:next w:val="815"/>
    <w:link w:val="63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39">
    <w:name w:val="Heading 1 Char"/>
    <w:basedOn w:val="816"/>
    <w:link w:val="638"/>
    <w:uiPriority w:val="9"/>
    <w:rPr>
      <w:rFonts w:ascii="Arial" w:hAnsi="Arial" w:eastAsia="Arial" w:cs="Arial"/>
      <w:sz w:val="40"/>
      <w:szCs w:val="40"/>
    </w:rPr>
  </w:style>
  <w:style w:type="paragraph" w:styleId="640">
    <w:name w:val="Heading 2"/>
    <w:basedOn w:val="815"/>
    <w:next w:val="815"/>
    <w:link w:val="64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41">
    <w:name w:val="Heading 2 Char"/>
    <w:basedOn w:val="816"/>
    <w:link w:val="640"/>
    <w:uiPriority w:val="9"/>
    <w:rPr>
      <w:rFonts w:ascii="Arial" w:hAnsi="Arial" w:eastAsia="Arial" w:cs="Arial"/>
      <w:sz w:val="34"/>
    </w:rPr>
  </w:style>
  <w:style w:type="paragraph" w:styleId="642">
    <w:name w:val="Heading 3"/>
    <w:basedOn w:val="815"/>
    <w:next w:val="815"/>
    <w:link w:val="64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43">
    <w:name w:val="Heading 3 Char"/>
    <w:basedOn w:val="816"/>
    <w:link w:val="642"/>
    <w:uiPriority w:val="9"/>
    <w:rPr>
      <w:rFonts w:ascii="Arial" w:hAnsi="Arial" w:eastAsia="Arial" w:cs="Arial"/>
      <w:sz w:val="30"/>
      <w:szCs w:val="30"/>
    </w:rPr>
  </w:style>
  <w:style w:type="paragraph" w:styleId="644">
    <w:name w:val="Heading 4"/>
    <w:basedOn w:val="815"/>
    <w:next w:val="815"/>
    <w:link w:val="64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45">
    <w:name w:val="Heading 4 Char"/>
    <w:basedOn w:val="816"/>
    <w:link w:val="644"/>
    <w:uiPriority w:val="9"/>
    <w:rPr>
      <w:rFonts w:ascii="Arial" w:hAnsi="Arial" w:eastAsia="Arial" w:cs="Arial"/>
      <w:b/>
      <w:bCs/>
      <w:sz w:val="26"/>
      <w:szCs w:val="26"/>
    </w:rPr>
  </w:style>
  <w:style w:type="paragraph" w:styleId="646">
    <w:name w:val="Heading 5"/>
    <w:basedOn w:val="815"/>
    <w:next w:val="815"/>
    <w:link w:val="64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47">
    <w:name w:val="Heading 5 Char"/>
    <w:basedOn w:val="816"/>
    <w:link w:val="646"/>
    <w:uiPriority w:val="9"/>
    <w:rPr>
      <w:rFonts w:ascii="Arial" w:hAnsi="Arial" w:eastAsia="Arial" w:cs="Arial"/>
      <w:b/>
      <w:bCs/>
      <w:sz w:val="24"/>
      <w:szCs w:val="24"/>
    </w:rPr>
  </w:style>
  <w:style w:type="paragraph" w:styleId="648">
    <w:name w:val="Heading 6"/>
    <w:basedOn w:val="815"/>
    <w:next w:val="815"/>
    <w:link w:val="64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49">
    <w:name w:val="Heading 6 Char"/>
    <w:basedOn w:val="816"/>
    <w:link w:val="648"/>
    <w:uiPriority w:val="9"/>
    <w:rPr>
      <w:rFonts w:ascii="Arial" w:hAnsi="Arial" w:eastAsia="Arial" w:cs="Arial"/>
      <w:b/>
      <w:bCs/>
      <w:sz w:val="22"/>
      <w:szCs w:val="22"/>
    </w:rPr>
  </w:style>
  <w:style w:type="paragraph" w:styleId="650">
    <w:name w:val="Heading 7"/>
    <w:basedOn w:val="815"/>
    <w:next w:val="815"/>
    <w:link w:val="65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51">
    <w:name w:val="Heading 7 Char"/>
    <w:basedOn w:val="816"/>
    <w:link w:val="65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52">
    <w:name w:val="Heading 8"/>
    <w:basedOn w:val="815"/>
    <w:next w:val="815"/>
    <w:link w:val="65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53">
    <w:name w:val="Heading 8 Char"/>
    <w:basedOn w:val="816"/>
    <w:link w:val="652"/>
    <w:uiPriority w:val="9"/>
    <w:rPr>
      <w:rFonts w:ascii="Arial" w:hAnsi="Arial" w:eastAsia="Arial" w:cs="Arial"/>
      <w:i/>
      <w:iCs/>
      <w:sz w:val="22"/>
      <w:szCs w:val="22"/>
    </w:rPr>
  </w:style>
  <w:style w:type="paragraph" w:styleId="654">
    <w:name w:val="Heading 9"/>
    <w:basedOn w:val="815"/>
    <w:next w:val="815"/>
    <w:link w:val="65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5">
    <w:name w:val="Heading 9 Char"/>
    <w:basedOn w:val="816"/>
    <w:link w:val="654"/>
    <w:uiPriority w:val="9"/>
    <w:rPr>
      <w:rFonts w:ascii="Arial" w:hAnsi="Arial" w:eastAsia="Arial" w:cs="Arial"/>
      <w:i/>
      <w:iCs/>
      <w:sz w:val="21"/>
      <w:szCs w:val="21"/>
    </w:rPr>
  </w:style>
  <w:style w:type="paragraph" w:styleId="656">
    <w:name w:val="List Paragraph"/>
    <w:basedOn w:val="815"/>
    <w:uiPriority w:val="34"/>
    <w:qFormat/>
    <w:pPr>
      <w:contextualSpacing/>
      <w:ind w:left="720"/>
    </w:pPr>
  </w:style>
  <w:style w:type="paragraph" w:styleId="657">
    <w:name w:val="No Spacing"/>
    <w:uiPriority w:val="1"/>
    <w:qFormat/>
    <w:pPr>
      <w:spacing w:before="0" w:after="0" w:line="240" w:lineRule="auto"/>
    </w:pPr>
  </w:style>
  <w:style w:type="paragraph" w:styleId="658">
    <w:name w:val="Title"/>
    <w:basedOn w:val="815"/>
    <w:next w:val="815"/>
    <w:link w:val="65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9">
    <w:name w:val="Title Char"/>
    <w:basedOn w:val="816"/>
    <w:link w:val="658"/>
    <w:uiPriority w:val="10"/>
    <w:rPr>
      <w:sz w:val="48"/>
      <w:szCs w:val="48"/>
    </w:rPr>
  </w:style>
  <w:style w:type="paragraph" w:styleId="660">
    <w:name w:val="Subtitle"/>
    <w:basedOn w:val="815"/>
    <w:next w:val="815"/>
    <w:link w:val="661"/>
    <w:uiPriority w:val="11"/>
    <w:qFormat/>
    <w:pPr>
      <w:spacing w:before="200" w:after="200"/>
    </w:pPr>
    <w:rPr>
      <w:sz w:val="24"/>
      <w:szCs w:val="24"/>
    </w:rPr>
  </w:style>
  <w:style w:type="character" w:styleId="661">
    <w:name w:val="Subtitle Char"/>
    <w:basedOn w:val="816"/>
    <w:link w:val="660"/>
    <w:uiPriority w:val="11"/>
    <w:rPr>
      <w:sz w:val="24"/>
      <w:szCs w:val="24"/>
    </w:rPr>
  </w:style>
  <w:style w:type="paragraph" w:styleId="662">
    <w:name w:val="Quote"/>
    <w:basedOn w:val="815"/>
    <w:next w:val="815"/>
    <w:link w:val="663"/>
    <w:uiPriority w:val="29"/>
    <w:qFormat/>
    <w:pPr>
      <w:ind w:left="720" w:right="720"/>
    </w:pPr>
    <w:rPr>
      <w:i/>
    </w:rPr>
  </w:style>
  <w:style w:type="character" w:styleId="663">
    <w:name w:val="Quote Char"/>
    <w:link w:val="662"/>
    <w:uiPriority w:val="29"/>
    <w:rPr>
      <w:i/>
    </w:rPr>
  </w:style>
  <w:style w:type="paragraph" w:styleId="664">
    <w:name w:val="Intense Quote"/>
    <w:basedOn w:val="815"/>
    <w:next w:val="815"/>
    <w:link w:val="66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5">
    <w:name w:val="Intense Quote Char"/>
    <w:link w:val="664"/>
    <w:uiPriority w:val="30"/>
    <w:rPr>
      <w:i/>
    </w:rPr>
  </w:style>
  <w:style w:type="paragraph" w:styleId="666">
    <w:name w:val="Header"/>
    <w:basedOn w:val="815"/>
    <w:link w:val="66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7">
    <w:name w:val="Header Char"/>
    <w:basedOn w:val="816"/>
    <w:link w:val="666"/>
    <w:uiPriority w:val="99"/>
  </w:style>
  <w:style w:type="paragraph" w:styleId="668">
    <w:name w:val="Footer"/>
    <w:basedOn w:val="815"/>
    <w:link w:val="67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9">
    <w:name w:val="Footer Char"/>
    <w:basedOn w:val="816"/>
    <w:link w:val="668"/>
    <w:uiPriority w:val="99"/>
  </w:style>
  <w:style w:type="paragraph" w:styleId="670">
    <w:name w:val="Caption"/>
    <w:basedOn w:val="815"/>
    <w:next w:val="81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71">
    <w:name w:val="Caption Char"/>
    <w:basedOn w:val="670"/>
    <w:link w:val="668"/>
    <w:uiPriority w:val="99"/>
  </w:style>
  <w:style w:type="table" w:styleId="672">
    <w:name w:val="Table Grid"/>
    <w:basedOn w:val="817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3">
    <w:name w:val="Table Grid Light"/>
    <w:basedOn w:val="81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4">
    <w:name w:val="Plain Table 1"/>
    <w:basedOn w:val="81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5">
    <w:name w:val="Plain Table 2"/>
    <w:basedOn w:val="81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6">
    <w:name w:val="Plain Table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7">
    <w:name w:val="Plain Table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Plain Table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9">
    <w:name w:val="Grid Table 1 Light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1 Light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1 Light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3">
    <w:name w:val="Grid Table 1 Light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4">
    <w:name w:val="Grid Table 1 Light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5">
    <w:name w:val="Grid Table 1 Light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6">
    <w:name w:val="Grid Table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2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2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2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2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2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2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3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3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3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7">
    <w:name w:val="Grid Table 3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8">
    <w:name w:val="Grid Table 3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9">
    <w:name w:val="Grid Table 3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0">
    <w:name w:val="Grid Table 4"/>
    <w:basedOn w:val="81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01">
    <w:name w:val="Grid Table 4 - Accent 1"/>
    <w:basedOn w:val="81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02">
    <w:name w:val="Grid Table 4 - Accent 2"/>
    <w:basedOn w:val="81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03">
    <w:name w:val="Grid Table 4 - Accent 3"/>
    <w:basedOn w:val="81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4">
    <w:name w:val="Grid Table 4 - Accent 4"/>
    <w:basedOn w:val="81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5">
    <w:name w:val="Grid Table 4 - Accent 5"/>
    <w:basedOn w:val="81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6">
    <w:name w:val="Grid Table 4 - Accent 6"/>
    <w:basedOn w:val="81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7">
    <w:name w:val="Grid Table 5 Dark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8">
    <w:name w:val="Grid Table 5 Dark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09">
    <w:name w:val="Grid Table 5 Dark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10">
    <w:name w:val="Grid Table 5 Dark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11">
    <w:name w:val="Grid Table 5 Dark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12">
    <w:name w:val="Grid Table 5 Dark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13">
    <w:name w:val="Grid Table 5 Dark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14">
    <w:name w:val="Grid Table 6 Colorful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5">
    <w:name w:val="Grid Table 6 Colorful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6">
    <w:name w:val="Grid Table 6 Colorful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7">
    <w:name w:val="Grid Table 6 Colorful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8">
    <w:name w:val="Grid Table 6 Colorful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9">
    <w:name w:val="Grid Table 6 Colorful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20">
    <w:name w:val="Grid Table 6 Colorful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21">
    <w:name w:val="Grid Table 7 Colorful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7 Colorful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7 Colorful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7 Colorful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7 Colorful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7 Colorful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7 Colorful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1 Light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1 Light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List Table 1 Light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List Table 1 Light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List Table 1 Light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List Table 1 Light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List Table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6">
    <w:name w:val="List Table 2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7">
    <w:name w:val="List Table 2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8">
    <w:name w:val="List Table 2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9">
    <w:name w:val="List Table 2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40">
    <w:name w:val="List Table 2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41">
    <w:name w:val="List Table 2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42">
    <w:name w:val="List Table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3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3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3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3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3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4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List Table 4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List Table 4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List Table 4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List Table 5 Dark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5 Dark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5 Dark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0">
    <w:name w:val="List Table 5 Dark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1">
    <w:name w:val="List Table 5 Dark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2">
    <w:name w:val="List Table 5 Dark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3">
    <w:name w:val="List Table 6 Colorful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4">
    <w:name w:val="List Table 6 Colorful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5">
    <w:name w:val="List Table 6 Colorful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6">
    <w:name w:val="List Table 6 Colorful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7">
    <w:name w:val="List Table 6 Colorful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8">
    <w:name w:val="List Table 6 Colorful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9">
    <w:name w:val="List Table 6 Colorful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70">
    <w:name w:val="List Table 7 Colorful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71">
    <w:name w:val="List Table 7 Colorful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72">
    <w:name w:val="List Table 7 Colorful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73">
    <w:name w:val="List Table 7 Colorful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74">
    <w:name w:val="List Table 7 Colorful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75">
    <w:name w:val="List Table 7 Colorful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76">
    <w:name w:val="List Table 7 Colorful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77">
    <w:name w:val="Lined - Accent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8">
    <w:name w:val="Lined - Accent 1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79">
    <w:name w:val="Lined - Accent 2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80">
    <w:name w:val="Lined - Accent 3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81">
    <w:name w:val="Lined - Accent 4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82">
    <w:name w:val="Lined - Accent 5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83">
    <w:name w:val="Lined - Accent 6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84">
    <w:name w:val="Bordered &amp; Lined - Accent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5">
    <w:name w:val="Bordered &amp; Lined - Accent 1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86">
    <w:name w:val="Bordered &amp; Lined - Accent 2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87">
    <w:name w:val="Bordered &amp; Lined - Accent 3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88">
    <w:name w:val="Bordered &amp; Lined - Accent 4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89">
    <w:name w:val="Bordered &amp; Lined - Accent 5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0">
    <w:name w:val="Bordered &amp; Lined - Accent 6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91">
    <w:name w:val="Bordered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92">
    <w:name w:val="Bordered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93">
    <w:name w:val="Bordered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4">
    <w:name w:val="Bordered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5">
    <w:name w:val="Bordered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6">
    <w:name w:val="Bordered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7">
    <w:name w:val="Bordered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798">
    <w:name w:val="footnote text"/>
    <w:basedOn w:val="815"/>
    <w:link w:val="799"/>
    <w:uiPriority w:val="99"/>
    <w:semiHidden/>
    <w:unhideWhenUsed/>
    <w:pPr>
      <w:spacing w:after="40" w:line="240" w:lineRule="auto"/>
    </w:pPr>
    <w:rPr>
      <w:sz w:val="18"/>
    </w:rPr>
  </w:style>
  <w:style w:type="character" w:styleId="799">
    <w:name w:val="Footnote Text Char"/>
    <w:link w:val="798"/>
    <w:uiPriority w:val="99"/>
    <w:rPr>
      <w:sz w:val="18"/>
    </w:rPr>
  </w:style>
  <w:style w:type="character" w:styleId="800">
    <w:name w:val="footnote reference"/>
    <w:basedOn w:val="816"/>
    <w:uiPriority w:val="99"/>
    <w:unhideWhenUsed/>
    <w:rPr>
      <w:vertAlign w:val="superscript"/>
    </w:rPr>
  </w:style>
  <w:style w:type="paragraph" w:styleId="801">
    <w:name w:val="endnote text"/>
    <w:basedOn w:val="815"/>
    <w:link w:val="802"/>
    <w:uiPriority w:val="99"/>
    <w:semiHidden/>
    <w:unhideWhenUsed/>
    <w:pPr>
      <w:spacing w:after="0" w:line="240" w:lineRule="auto"/>
    </w:pPr>
    <w:rPr>
      <w:sz w:val="20"/>
    </w:rPr>
  </w:style>
  <w:style w:type="character" w:styleId="802">
    <w:name w:val="Endnote Text Char"/>
    <w:link w:val="801"/>
    <w:uiPriority w:val="99"/>
    <w:rPr>
      <w:sz w:val="20"/>
    </w:rPr>
  </w:style>
  <w:style w:type="character" w:styleId="803">
    <w:name w:val="endnote reference"/>
    <w:basedOn w:val="816"/>
    <w:uiPriority w:val="99"/>
    <w:semiHidden/>
    <w:unhideWhenUsed/>
    <w:rPr>
      <w:vertAlign w:val="superscript"/>
    </w:rPr>
  </w:style>
  <w:style w:type="paragraph" w:styleId="804">
    <w:name w:val="toc 1"/>
    <w:basedOn w:val="815"/>
    <w:next w:val="815"/>
    <w:uiPriority w:val="39"/>
    <w:unhideWhenUsed/>
    <w:pPr>
      <w:ind w:left="0" w:right="0" w:firstLine="0"/>
      <w:spacing w:after="57"/>
    </w:pPr>
  </w:style>
  <w:style w:type="paragraph" w:styleId="805">
    <w:name w:val="toc 2"/>
    <w:basedOn w:val="815"/>
    <w:next w:val="815"/>
    <w:uiPriority w:val="39"/>
    <w:unhideWhenUsed/>
    <w:pPr>
      <w:ind w:left="283" w:right="0" w:firstLine="0"/>
      <w:spacing w:after="57"/>
    </w:pPr>
  </w:style>
  <w:style w:type="paragraph" w:styleId="806">
    <w:name w:val="toc 3"/>
    <w:basedOn w:val="815"/>
    <w:next w:val="815"/>
    <w:uiPriority w:val="39"/>
    <w:unhideWhenUsed/>
    <w:pPr>
      <w:ind w:left="567" w:right="0" w:firstLine="0"/>
      <w:spacing w:after="57"/>
    </w:pPr>
  </w:style>
  <w:style w:type="paragraph" w:styleId="807">
    <w:name w:val="toc 4"/>
    <w:basedOn w:val="815"/>
    <w:next w:val="815"/>
    <w:uiPriority w:val="39"/>
    <w:unhideWhenUsed/>
    <w:pPr>
      <w:ind w:left="850" w:right="0" w:firstLine="0"/>
      <w:spacing w:after="57"/>
    </w:pPr>
  </w:style>
  <w:style w:type="paragraph" w:styleId="808">
    <w:name w:val="toc 5"/>
    <w:basedOn w:val="815"/>
    <w:next w:val="815"/>
    <w:uiPriority w:val="39"/>
    <w:unhideWhenUsed/>
    <w:pPr>
      <w:ind w:left="1134" w:right="0" w:firstLine="0"/>
      <w:spacing w:after="57"/>
    </w:pPr>
  </w:style>
  <w:style w:type="paragraph" w:styleId="809">
    <w:name w:val="toc 6"/>
    <w:basedOn w:val="815"/>
    <w:next w:val="815"/>
    <w:uiPriority w:val="39"/>
    <w:unhideWhenUsed/>
    <w:pPr>
      <w:ind w:left="1417" w:right="0" w:firstLine="0"/>
      <w:spacing w:after="57"/>
    </w:pPr>
  </w:style>
  <w:style w:type="paragraph" w:styleId="810">
    <w:name w:val="toc 7"/>
    <w:basedOn w:val="815"/>
    <w:next w:val="815"/>
    <w:uiPriority w:val="39"/>
    <w:unhideWhenUsed/>
    <w:pPr>
      <w:ind w:left="1701" w:right="0" w:firstLine="0"/>
      <w:spacing w:after="57"/>
    </w:pPr>
  </w:style>
  <w:style w:type="paragraph" w:styleId="811">
    <w:name w:val="toc 8"/>
    <w:basedOn w:val="815"/>
    <w:next w:val="815"/>
    <w:uiPriority w:val="39"/>
    <w:unhideWhenUsed/>
    <w:pPr>
      <w:ind w:left="1984" w:right="0" w:firstLine="0"/>
      <w:spacing w:after="57"/>
    </w:pPr>
  </w:style>
  <w:style w:type="paragraph" w:styleId="812">
    <w:name w:val="toc 9"/>
    <w:basedOn w:val="815"/>
    <w:next w:val="815"/>
    <w:uiPriority w:val="39"/>
    <w:unhideWhenUsed/>
    <w:pPr>
      <w:ind w:left="2268" w:right="0" w:firstLine="0"/>
      <w:spacing w:after="57"/>
    </w:pPr>
  </w:style>
  <w:style w:type="paragraph" w:styleId="813">
    <w:name w:val="TOC Heading"/>
    <w:uiPriority w:val="39"/>
    <w:unhideWhenUsed/>
  </w:style>
  <w:style w:type="paragraph" w:styleId="814">
    <w:name w:val="table of figures"/>
    <w:basedOn w:val="815"/>
    <w:next w:val="815"/>
    <w:uiPriority w:val="99"/>
    <w:unhideWhenUsed/>
    <w:pPr>
      <w:spacing w:after="0" w:afterAutospacing="0"/>
    </w:pPr>
  </w:style>
  <w:style w:type="paragraph" w:styleId="815" w:default="1">
    <w:name w:val="Normal"/>
    <w:qFormat/>
  </w:style>
  <w:style w:type="character" w:styleId="816" w:default="1">
    <w:name w:val="Default Paragraph Font"/>
    <w:uiPriority w:val="1"/>
    <w:semiHidden/>
    <w:unhideWhenUsed/>
  </w:style>
  <w:style w:type="table" w:styleId="81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8" w:default="1">
    <w:name w:val="No List"/>
    <w:uiPriority w:val="99"/>
    <w:semiHidden/>
    <w:unhideWhenUsed/>
  </w:style>
  <w:style w:type="character" w:styleId="819">
    <w:name w:val="Hyperlink"/>
    <w:basedOn w:val="816"/>
    <w:uiPriority w:val="99"/>
    <w:unhideWhenUsed/>
    <w:rPr>
      <w:color w:val="0563c1" w:themeColor="hyperlink"/>
      <w:u w:val="single"/>
    </w:rPr>
  </w:style>
  <w:style w:type="paragraph" w:styleId="820">
    <w:name w:val="Balloon Text"/>
    <w:basedOn w:val="815"/>
    <w:link w:val="821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821" w:customStyle="1">
    <w:name w:val="Текст выноски Знак"/>
    <w:basedOn w:val="816"/>
    <w:link w:val="820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SPecialiST RePack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revision>29</cp:revision>
  <dcterms:created xsi:type="dcterms:W3CDTF">2019-08-20T14:10:00Z</dcterms:created>
  <dcterms:modified xsi:type="dcterms:W3CDTF">2025-03-04T07:06:01Z</dcterms:modified>
</cp:coreProperties>
</file>