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right="-142" w:hanging="142"/>
        <w:jc w:val="center"/>
        <w:pageBreakBefore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Анкета</w:t>
      </w:r>
      <w:r/>
    </w:p>
    <w:p>
      <w:pPr>
        <w:pStyle w:val="862"/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проекта </w:t>
      </w: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rFonts w:eastAsia="Calibri"/>
          <w:b/>
          <w:sz w:val="26"/>
          <w:szCs w:val="26"/>
        </w:rPr>
      </w:r>
      <w:r/>
    </w:p>
    <w:p>
      <w:pPr>
        <w:pStyle w:val="862"/>
        <w:jc w:val="center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/>
    </w:p>
    <w:p>
      <w:pPr>
        <w:pStyle w:val="862"/>
        <w:numPr>
          <w:ilvl w:val="0"/>
          <w:numId w:val="24"/>
        </w:numPr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ФИО участника публичных консультаций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Контактный телефон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электронной почты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</w:tbl>
    <w:p>
      <w:pPr>
        <w:pStyle w:val="862"/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  <w:r>
        <w:rPr>
          <w:rFonts w:eastAsia="Calibri"/>
          <w:sz w:val="16"/>
          <w:szCs w:val="16"/>
          <w:highlight w:val="yellow"/>
        </w:rPr>
      </w:r>
      <w:r/>
    </w:p>
    <w:p>
      <w:pPr>
        <w:pStyle w:val="862"/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2. Общие сведения о проекте нормативного правового акта</w:t>
      </w:r>
      <w:r>
        <w:rPr>
          <w:rFonts w:eastAsia="Calibri"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ind w:right="-1"/>
              <w:jc w:val="center"/>
            </w:pPr>
            <w:r>
              <w:rPr>
                <w:rFonts w:eastAsia="Calibri"/>
                <w:b/>
                <w:sz w:val="26"/>
                <w:szCs w:val="26"/>
              </w:rPr>
              <w:t xml:space="preserve">Постановление администрации Белгородского района «</w:t>
            </w:r>
            <w:r>
              <w:rPr>
                <w:b/>
                <w:bCs/>
                <w:sz w:val="28"/>
                <w:szCs w:val="28"/>
              </w:rPr>
              <w:t xml:space="preserve">О внесении изменений в постановление администрации Белгородского района от 31.12.2015 № 123 «Об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определении единых теплоснабжающих организаций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/>
          </w:p>
          <w:p>
            <w:pPr>
              <w:pStyle w:val="862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– заполняет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структурное подразделение 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Могут ли положения 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Присутствуют ли в проекте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</w:rPr>
              <w:t xml:space="preserve">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</w:t>
            </w:r>
            <w:r>
              <w:rPr>
                <w:rFonts w:eastAsia="Calibri"/>
              </w:rPr>
              <w:t xml:space="preserve"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</w:rPr>
              <w:t xml:space="preserve">Шершнева ул., д. 1 а, Белгород, 308007</w:t>
            </w:r>
            <w:r>
              <w:rPr>
                <w:rFonts w:eastAsia="Calibri"/>
              </w:rPr>
              <w:t xml:space="preserve">, а также по адресу электронной почты: </w:t>
            </w:r>
            <w:r>
              <w:rPr>
                <w:rFonts w:eastAsia="Calibri"/>
              </w:rPr>
              <w:t xml:space="preserve">belrn_gkh@mail.ru</w:t>
            </w:r>
            <w:r>
              <w:rPr>
                <w:rFonts w:eastAsia="Calibri"/>
              </w:rPr>
              <w:t xml:space="preserve">.</w:t>
            </w:r>
            <w:r/>
          </w:p>
          <w:p>
            <w:pPr>
              <w:pStyle w:val="862"/>
              <w:jc w:val="both"/>
              <w:spacing w:line="232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  <w:sz w:val="26"/>
                <w:szCs w:val="26"/>
              </w:rPr>
              <w:t xml:space="preserve">с </w:t>
            </w:r>
            <w:r>
              <w:rPr>
                <w:rFonts w:eastAsia="Calibri"/>
                <w:sz w:val="26"/>
                <w:szCs w:val="26"/>
              </w:rPr>
              <w:t xml:space="preserve">31.0</w:t>
            </w:r>
            <w:r>
              <w:rPr>
                <w:rFonts w:eastAsia="Calibri"/>
                <w:sz w:val="26"/>
                <w:szCs w:val="26"/>
              </w:rPr>
              <w:t xml:space="preserve">3.202</w:t>
            </w:r>
            <w:r>
              <w:rPr>
                <w:rFonts w:eastAsia="Calibri"/>
                <w:sz w:val="26"/>
                <w:szCs w:val="26"/>
              </w:rPr>
              <w:t xml:space="preserve">5 г. по </w:t>
            </w:r>
            <w:r>
              <w:rPr>
                <w:rFonts w:eastAsia="Calibri"/>
                <w:sz w:val="26"/>
                <w:szCs w:val="26"/>
              </w:rPr>
              <w:t xml:space="preserve">14.04</w:t>
            </w:r>
            <w:r>
              <w:rPr>
                <w:rFonts w:eastAsia="Calibri"/>
                <w:sz w:val="26"/>
                <w:szCs w:val="26"/>
              </w:rPr>
              <w:t xml:space="preserve">.202</w:t>
            </w:r>
            <w:r>
              <w:rPr>
                <w:rFonts w:eastAsia="Calibri"/>
                <w:sz w:val="26"/>
                <w:szCs w:val="26"/>
              </w:rPr>
              <w:t xml:space="preserve">5 г.</w:t>
            </w:r>
            <w:r/>
          </w:p>
          <w:p>
            <w:pPr>
              <w:pStyle w:val="862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</w:r>
            <w:r/>
          </w:p>
          <w:p>
            <w:pPr>
              <w:pStyle w:val="862"/>
              <w:jc w:val="both"/>
              <w:tabs>
                <w:tab w:val="left" w:pos="2940" w:leader="none"/>
              </w:tabs>
              <w:rPr>
                <w:rFonts w:eastAsia="Calibri"/>
                <w:sz w:val="2"/>
                <w:szCs w:val="2"/>
                <w:highlight w:val="yellow"/>
              </w:rPr>
            </w:pPr>
            <w:r>
              <w:rPr>
                <w:rFonts w:eastAsia="Calibri"/>
                <w:sz w:val="2"/>
                <w:szCs w:val="2"/>
                <w:highlight w:val="yellow"/>
              </w:rPr>
            </w:r>
            <w:r/>
          </w:p>
        </w:tc>
      </w:tr>
    </w:tbl>
    <w:p>
      <w:pPr>
        <w:pStyle w:val="862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62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862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6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62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62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862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862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862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862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62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862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862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62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62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62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62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62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62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1"/>
    <w:basedOn w:val="862"/>
    <w:next w:val="862"/>
    <w:link w:val="87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64">
    <w:name w:val="Заголовок 3"/>
    <w:basedOn w:val="862"/>
    <w:next w:val="862"/>
    <w:link w:val="862"/>
    <w:qFormat/>
    <w:pPr>
      <w:keepNext/>
      <w:outlineLvl w:val="2"/>
    </w:pPr>
    <w:rPr>
      <w:sz w:val="28"/>
    </w:rPr>
  </w:style>
  <w:style w:type="paragraph" w:styleId="865">
    <w:name w:val="Заголовок 4"/>
    <w:basedOn w:val="862"/>
    <w:next w:val="862"/>
    <w:link w:val="862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866">
    <w:name w:val="Основной шрифт абзаца"/>
    <w:next w:val="866"/>
    <w:link w:val="862"/>
    <w:semiHidden/>
  </w:style>
  <w:style w:type="table" w:styleId="867">
    <w:name w:val="Обычная таблица"/>
    <w:next w:val="867"/>
    <w:link w:val="862"/>
    <w:semiHidden/>
    <w:tblPr/>
  </w:style>
  <w:style w:type="numbering" w:styleId="868">
    <w:name w:val="Нет списка"/>
    <w:next w:val="868"/>
    <w:link w:val="862"/>
    <w:semiHidden/>
  </w:style>
  <w:style w:type="paragraph" w:styleId="869">
    <w:name w:val="Основной текст 2"/>
    <w:basedOn w:val="862"/>
    <w:next w:val="869"/>
    <w:link w:val="862"/>
    <w:pPr>
      <w:jc w:val="both"/>
    </w:pPr>
    <w:rPr>
      <w:sz w:val="28"/>
    </w:rPr>
  </w:style>
  <w:style w:type="paragraph" w:styleId="870">
    <w:name w:val="Знак"/>
    <w:basedOn w:val="862"/>
    <w:next w:val="870"/>
    <w:link w:val="862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871">
    <w:name w:val="Сетка таблицы"/>
    <w:basedOn w:val="867"/>
    <w:next w:val="871"/>
    <w:link w:val="862"/>
    <w:uiPriority w:val="59"/>
    <w:tblPr/>
  </w:style>
  <w:style w:type="character" w:styleId="872">
    <w:name w:val="Заголовок 1 Знак"/>
    <w:next w:val="872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73">
    <w:name w:val="Текст выноски"/>
    <w:basedOn w:val="862"/>
    <w:next w:val="873"/>
    <w:link w:val="874"/>
    <w:uiPriority w:val="99"/>
    <w:rPr>
      <w:rFonts w:ascii="Tahoma" w:hAnsi="Tahoma"/>
      <w:sz w:val="16"/>
      <w:szCs w:val="16"/>
      <w:lang w:val="en-US" w:eastAsia="en-US"/>
    </w:rPr>
  </w:style>
  <w:style w:type="character" w:styleId="874">
    <w:name w:val="Текст выноски Знак"/>
    <w:next w:val="874"/>
    <w:link w:val="873"/>
    <w:uiPriority w:val="99"/>
    <w:rPr>
      <w:rFonts w:ascii="Tahoma" w:hAnsi="Tahoma" w:cs="Tahoma"/>
      <w:sz w:val="16"/>
      <w:szCs w:val="16"/>
    </w:rPr>
  </w:style>
  <w:style w:type="paragraph" w:styleId="875">
    <w:name w:val="Верхний колонтитул"/>
    <w:basedOn w:val="862"/>
    <w:next w:val="875"/>
    <w:link w:val="87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6">
    <w:name w:val="Верхний колонтитул Знак"/>
    <w:next w:val="876"/>
    <w:link w:val="875"/>
    <w:uiPriority w:val="99"/>
    <w:rPr>
      <w:sz w:val="24"/>
      <w:szCs w:val="24"/>
    </w:rPr>
  </w:style>
  <w:style w:type="paragraph" w:styleId="877">
    <w:name w:val="Нижний колонтитул"/>
    <w:basedOn w:val="862"/>
    <w:next w:val="877"/>
    <w:link w:val="87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8">
    <w:name w:val="Нижний колонтитул Знак"/>
    <w:next w:val="878"/>
    <w:link w:val="877"/>
    <w:uiPriority w:val="99"/>
    <w:rPr>
      <w:sz w:val="24"/>
      <w:szCs w:val="24"/>
    </w:rPr>
  </w:style>
  <w:style w:type="character" w:styleId="879">
    <w:name w:val="Номер строки"/>
    <w:next w:val="879"/>
    <w:link w:val="862"/>
  </w:style>
  <w:style w:type="paragraph" w:styleId="880">
    <w:name w:val="Обычный (веб)"/>
    <w:basedOn w:val="862"/>
    <w:next w:val="880"/>
    <w:link w:val="862"/>
    <w:uiPriority w:val="99"/>
    <w:unhideWhenUsed/>
    <w:pPr>
      <w:spacing w:before="100" w:beforeAutospacing="1" w:after="100" w:afterAutospacing="1"/>
    </w:pPr>
  </w:style>
  <w:style w:type="paragraph" w:styleId="881">
    <w:name w:val="Основной текст"/>
    <w:basedOn w:val="862"/>
    <w:next w:val="881"/>
    <w:link w:val="882"/>
    <w:pPr>
      <w:spacing w:after="120"/>
    </w:pPr>
    <w:rPr>
      <w:lang w:val="en-US" w:eastAsia="en-US"/>
    </w:rPr>
  </w:style>
  <w:style w:type="character" w:styleId="882">
    <w:name w:val="Основной текст Знак"/>
    <w:next w:val="882"/>
    <w:link w:val="881"/>
    <w:rPr>
      <w:sz w:val="24"/>
      <w:szCs w:val="24"/>
    </w:rPr>
  </w:style>
  <w:style w:type="paragraph" w:styleId="883">
    <w:name w:val="ConsPlusNormal"/>
    <w:next w:val="883"/>
    <w:link w:val="862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84">
    <w:name w:val="ConsPlusTitle"/>
    <w:next w:val="884"/>
    <w:link w:val="862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85">
    <w:name w:val="Default"/>
    <w:next w:val="885"/>
    <w:link w:val="862"/>
    <w:rPr>
      <w:rFonts w:eastAsia="Calibri"/>
      <w:color w:val="000000"/>
      <w:sz w:val="24"/>
      <w:szCs w:val="24"/>
      <w:lang w:val="ru-RU" w:eastAsia="en-US" w:bidi="ar-SA"/>
    </w:rPr>
  </w:style>
  <w:style w:type="character" w:styleId="886">
    <w:name w:val="Основной текст (2) + Полужирный"/>
    <w:next w:val="886"/>
    <w:link w:val="862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887">
    <w:name w:val="Нет списка1"/>
    <w:next w:val="868"/>
    <w:link w:val="862"/>
    <w:uiPriority w:val="99"/>
    <w:semiHidden/>
    <w:unhideWhenUsed/>
  </w:style>
  <w:style w:type="paragraph" w:styleId="888">
    <w:name w:val="Название"/>
    <w:basedOn w:val="862"/>
    <w:next w:val="888"/>
    <w:link w:val="889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889">
    <w:name w:val="Название Знак"/>
    <w:next w:val="889"/>
    <w:link w:val="888"/>
    <w:rPr>
      <w:rFonts w:eastAsia="Calibri"/>
      <w:sz w:val="28"/>
      <w:szCs w:val="28"/>
    </w:rPr>
  </w:style>
  <w:style w:type="paragraph" w:styleId="890">
    <w:name w:val="заголовок 2"/>
    <w:basedOn w:val="862"/>
    <w:next w:val="862"/>
    <w:link w:val="862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891">
    <w:name w:val="Абзац списка"/>
    <w:basedOn w:val="862"/>
    <w:next w:val="891"/>
    <w:link w:val="862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892">
    <w:name w:val="Основной текст (2)"/>
    <w:next w:val="892"/>
    <w:link w:val="862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893">
    <w:name w:val="Сетка таблицы1"/>
    <w:basedOn w:val="867"/>
    <w:next w:val="871"/>
    <w:link w:val="862"/>
    <w:uiPriority w:val="59"/>
    <w:rPr>
      <w:rFonts w:eastAsia="Calibri"/>
      <w:sz w:val="28"/>
      <w:szCs w:val="28"/>
      <w:lang w:eastAsia="en-US"/>
    </w:rPr>
    <w:tblPr/>
  </w:style>
  <w:style w:type="character" w:styleId="894">
    <w:name w:val="Знак примечания"/>
    <w:next w:val="894"/>
    <w:link w:val="862"/>
    <w:uiPriority w:val="99"/>
    <w:unhideWhenUsed/>
    <w:rPr>
      <w:sz w:val="16"/>
      <w:szCs w:val="16"/>
    </w:rPr>
  </w:style>
  <w:style w:type="paragraph" w:styleId="895">
    <w:name w:val="Текст примечания"/>
    <w:basedOn w:val="862"/>
    <w:next w:val="895"/>
    <w:link w:val="896"/>
    <w:uiPriority w:val="99"/>
    <w:unhideWhenUsed/>
    <w:rPr>
      <w:rFonts w:eastAsia="Calibri"/>
      <w:sz w:val="20"/>
      <w:szCs w:val="20"/>
      <w:lang w:val="en-US" w:eastAsia="en-US"/>
    </w:rPr>
  </w:style>
  <w:style w:type="character" w:styleId="896">
    <w:name w:val="Текст примечания Знак"/>
    <w:next w:val="896"/>
    <w:link w:val="895"/>
    <w:uiPriority w:val="99"/>
    <w:rPr>
      <w:rFonts w:eastAsia="Calibri"/>
    </w:rPr>
  </w:style>
  <w:style w:type="paragraph" w:styleId="897">
    <w:name w:val="Тема примечания"/>
    <w:basedOn w:val="895"/>
    <w:next w:val="895"/>
    <w:link w:val="898"/>
    <w:uiPriority w:val="99"/>
    <w:unhideWhenUsed/>
    <w:rPr>
      <w:b/>
      <w:bCs/>
      <w:lang w:val="en-US" w:eastAsia="en-US"/>
    </w:rPr>
  </w:style>
  <w:style w:type="character" w:styleId="898">
    <w:name w:val="Тема примечания Знак"/>
    <w:next w:val="898"/>
    <w:link w:val="897"/>
    <w:uiPriority w:val="99"/>
    <w:rPr>
      <w:rFonts w:eastAsia="Calibri"/>
      <w:b/>
      <w:bCs/>
    </w:rPr>
  </w:style>
  <w:style w:type="character" w:styleId="899">
    <w:name w:val="Гиперссылка"/>
    <w:next w:val="899"/>
    <w:link w:val="862"/>
    <w:uiPriority w:val="99"/>
    <w:rPr>
      <w:color w:val="0000ff"/>
      <w:u w:val="single"/>
    </w:rPr>
  </w:style>
  <w:style w:type="character" w:styleId="900">
    <w:name w:val="Основной текст + Полужирный;Интервал 0 pt"/>
    <w:next w:val="900"/>
    <w:link w:val="862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901">
    <w:name w:val="Просмотренная гиперссылка"/>
    <w:next w:val="901"/>
    <w:link w:val="862"/>
    <w:rPr>
      <w:color w:val="954f72"/>
      <w:u w:val="single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5</cp:revision>
  <dcterms:created xsi:type="dcterms:W3CDTF">2022-04-26T08:30:00Z</dcterms:created>
  <dcterms:modified xsi:type="dcterms:W3CDTF">2025-03-27T14:42:21Z</dcterms:modified>
  <cp:version>983040</cp:version>
</cp:coreProperties>
</file>