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              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Комитет по обеспечению безопасности администрации Белгородского района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pStyle w:val="815"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none"/>
                <w:lang w:eastAsia="ru-RU"/>
              </w:rPr>
              <w:t xml:space="preserve">п</w:t>
            </w: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роекту </w:t>
            </w: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постановления администрации Белгородского района Белгородской области</w:t>
            </w:r>
            <w:r>
              <w:rPr>
                <w:rFonts w:ascii="Tinos" w:hAnsi="Tinos" w:cs="Tinos"/>
                <w:b/>
                <w:bCs/>
                <w:i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</w:pP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«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О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12.04.2021 № 51 «О создании условий для исполнения наказаний в виде обязательных работ»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 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Galkina101975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@yandex.ru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18.09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.2024 г. по 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.2024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/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yellow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24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    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https://belgorodskij-r31.gosweb.gosuslugi.ru/glavnoe/organy-vlasti/administratsiya-belgorodskogo-rayona/antimonopolnyy-komplaens/publichnye2/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Галкина Диана Владимировна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, главный специалист отдела </w:t>
              <w:br/>
              <w:t xml:space="preserve">по взаимодействию с правоохранительными органами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комитета по обеспечению безопасности администрации Белгородского района,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26-77-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79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26</cp:revision>
  <dcterms:created xsi:type="dcterms:W3CDTF">2019-08-20T14:10:00Z</dcterms:created>
  <dcterms:modified xsi:type="dcterms:W3CDTF">2024-09-17T11:06:20Z</dcterms:modified>
</cp:coreProperties>
</file>