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</w:t>
        <w:br/>
        <w:t xml:space="preserve"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/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5"/>
              <w:jc w:val="center"/>
              <w:spacing w:after="0" w:afterAutospacing="0" w:line="240" w:lineRule="auto"/>
              <w:rPr>
                <w:rFonts w:ascii="Tinos" w:hAnsi="Tinos" w:cs="Tinos"/>
                <w:b/>
                <w:bCs/>
                <w:i/>
                <w:sz w:val="24"/>
                <w:szCs w:val="24"/>
              </w:rPr>
            </w:pPr>
            <w:r>
              <w:rPr>
                <w:rFonts w:ascii="Tinos" w:hAnsi="Tinos" w:eastAsia="Calibri" w:cs="Tinos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Проект </w:t>
            </w:r>
            <w:r>
              <w:rPr>
                <w:rFonts w:ascii="Tinos" w:hAnsi="Tinos" w:eastAsia="Tinos" w:cs="Tinos"/>
                <w:b/>
                <w:bCs/>
                <w:i/>
                <w:iCs/>
                <w:sz w:val="24"/>
                <w:szCs w:val="24"/>
              </w:rPr>
              <w:t xml:space="preserve">постановления администрации Белгородского района Белгородской области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nos" w:hAnsi="Tinos" w:cs="Tinos"/>
                <w:b/>
                <w:bCs/>
                <w:i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i/>
                <w:iCs/>
                <w:sz w:val="24"/>
                <w:szCs w:val="24"/>
              </w:rPr>
              <w:t xml:space="preserve">«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О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 внесении изменений в постановление администрации Белгородского района Белгородской области от 12.04.2021 № 51 «О создании условий для исполнения наказаний в виде обязательных работ»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rPr>
                <w:highlight w:val="white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 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07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, Белгород, 308007, а также по адресу электронной почты: Galkina101975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@yandex.ru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18.09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.2024 г. по 01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.10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.2024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21</cp:revision>
  <dcterms:created xsi:type="dcterms:W3CDTF">2019-08-20T14:10:00Z</dcterms:created>
  <dcterms:modified xsi:type="dcterms:W3CDTF">2024-09-17T10:15:21Z</dcterms:modified>
</cp:coreProperties>
</file>