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tabs>
          <w:tab w:val="left" w:pos="5175" w:leader="none"/>
        </w:tabs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center"/>
        <w:rPr>
          <w:b/>
          <w:bCs/>
          <w:sz w:val="28"/>
          <w:szCs w:val="28"/>
        </w:rPr>
        <w:suppressLineNumbers w:val="0"/>
      </w:pPr>
      <w:r>
        <w:rPr>
          <w:b/>
          <w:bCs/>
          <w:sz w:val="28"/>
          <w:szCs w:val="28"/>
        </w:rPr>
        <w:t xml:space="preserve">Об утверждении Положения о целевом обучении по образовательным программам среднего профессионального и высшего образования </w:t>
      </w:r>
      <w:r>
        <w:rPr>
          <w:b/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6 октября 2003 г. № 131-ФЗ </w:t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29 декабря 2012 г. № 273-ФЗ               «Об образовании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Российской Федерации», постановлением Правительства Российской Федерации </w:t>
      </w:r>
      <w:r>
        <w:rPr>
          <w:sz w:val="28"/>
          <w:szCs w:val="28"/>
        </w:rPr>
        <w:t xml:space="preserve">от 27 апреля 2024 г. № 555 «О целевом обучении         по образовательным программам среднего профессионального и высшего образования», Уставом муниципального района «Белгородский район»</w:t>
      </w:r>
      <w:r>
        <w:rPr>
          <w:sz w:val="28"/>
          <w:szCs w:val="28"/>
        </w:rPr>
        <w:t xml:space="preserve"> Белгородской области и в целях обеспечения предприятия (организаций)            и учреждений муниципального района «Белгородский район» Белгородской области квалифицированными кадрами </w:t>
      </w:r>
      <w:r>
        <w:rPr>
          <w:sz w:val="28"/>
          <w:szCs w:val="28"/>
        </w:rPr>
        <w:t xml:space="preserve">администрация Белгородского района </w:t>
      </w:r>
      <w:r>
        <w:rPr>
          <w:b/>
          <w:sz w:val="28"/>
          <w:szCs w:val="28"/>
        </w:rPr>
        <w:t xml:space="preserve">       п о с т а н о в л я е 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tabs>
          <w:tab w:val="left" w:pos="993" w:leader="none"/>
        </w:tabs>
        <w:rPr>
          <w:bCs/>
          <w:sz w:val="28"/>
          <w:szCs w:val="28"/>
        </w:rPr>
        <w:suppressLineNumbers w:val="0"/>
      </w:pPr>
      <w:r>
        <w:rPr>
          <w:sz w:val="28"/>
          <w:szCs w:val="28"/>
        </w:rPr>
        <w:t xml:space="preserve">1.</w:t>
        <w:tab/>
      </w:r>
      <w:r>
        <w:rPr>
          <w:sz w:val="28"/>
          <w:szCs w:val="28"/>
        </w:rPr>
        <w:t xml:space="preserve">Утвердить Положение о целевом обучении по образовательным программам среднего профессионального и высшего образования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(прилагается). 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tabs>
          <w:tab w:val="left" w:pos="993" w:leader="none"/>
        </w:tabs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</w:t>
        <w:tab/>
        <w:t xml:space="preserve">Опубликовать настоящее постановление в официальном печатном издании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"https://belgorodskij-r31.gosweb.gosuslugi.ru/" </w:instrText>
      </w:r>
      <w:r>
        <w:rPr>
          <w:sz w:val="28"/>
          <w:szCs w:val="28"/>
        </w:rPr>
        <w:fldChar w:fldCharType="separate"/>
      </w:r>
      <w:r>
        <w:rPr>
          <w:rStyle w:val="669"/>
          <w:color w:val="000000"/>
          <w:sz w:val="28"/>
          <w:szCs w:val="28"/>
          <w:u w:val="none"/>
        </w:rPr>
        <w:t xml:space="preserve">https://belgorodskij-r31.gosweb.gosuslugi.ru/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).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.</w:t>
        <w:tab/>
      </w:r>
      <w:r>
        <w:rPr>
          <w:sz w:val="28"/>
          <w:szCs w:val="28"/>
        </w:rPr>
        <w:t xml:space="preserve">Контроль за исполнением настоящего постановления возложить                          на</w:t>
      </w:r>
      <w:r>
        <w:rPr>
          <w:sz w:val="28"/>
          <w:szCs w:val="28"/>
        </w:rPr>
        <w:t xml:space="preserve"> аппарат администрации Белгородского района (Тельнов А.И.),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по социальной политики администрации Белгородского района (Малышева М.Д.)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комитет экономического развития администрации Белгородского района</w:t>
      </w:r>
      <w:r>
        <w:rPr>
          <w:sz w:val="28"/>
          <w:szCs w:val="28"/>
        </w:rPr>
        <w:t xml:space="preserve"> (Мерзликин В.В.</w:t>
      </w:r>
      <w:r>
        <w:rPr>
          <w:sz w:val="28"/>
          <w:szCs w:val="28"/>
        </w:rPr>
        <w:t xml:space="preserve">). 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left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14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54"/>
              <w:contextualSpacing w:val="0"/>
              <w:ind w:left="0" w:right="0" w:firstLine="0"/>
              <w:jc w:val="left"/>
              <w:tabs>
                <w:tab w:val="left" w:pos="993" w:leader="none"/>
              </w:tabs>
              <w:rPr>
                <w:b/>
                <w:sz w:val="28"/>
                <w:szCs w:val="28"/>
              </w:rPr>
              <w:suppressLineNumbers w:val="0"/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contextualSpacing w:val="0"/>
              <w:ind w:left="0" w:right="0" w:firstLine="0"/>
              <w:jc w:val="left"/>
              <w:tabs>
                <w:tab w:val="left" w:pos="993" w:leader="none"/>
              </w:tabs>
              <w:rPr>
                <w:b/>
                <w:sz w:val="28"/>
                <w:szCs w:val="28"/>
              </w:rPr>
              <w:suppressLineNumbers w:val="0"/>
            </w:pPr>
            <w:r>
              <w:rPr>
                <w:b/>
                <w:sz w:val="28"/>
                <w:szCs w:val="28"/>
              </w:rPr>
              <w:t xml:space="preserve">Белгородского района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54"/>
              <w:contextualSpacing w:val="0"/>
              <w:ind w:left="0" w:right="0" w:firstLine="0"/>
              <w:jc w:val="left"/>
              <w:tabs>
                <w:tab w:val="left" w:pos="993" w:leader="none"/>
              </w:tabs>
              <w:rPr>
                <w:b/>
                <w:sz w:val="28"/>
                <w:szCs w:val="28"/>
              </w:rPr>
              <w:suppressLineNumbers w:val="0"/>
            </w:pPr>
            <w:r>
              <w:rPr>
                <w:b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4"/>
              <w:contextualSpacing w:val="0"/>
              <w:ind w:left="0" w:right="-108" w:firstLine="0"/>
              <w:jc w:val="left"/>
              <w:tabs>
                <w:tab w:val="left" w:pos="993" w:leader="none"/>
              </w:tabs>
              <w:rPr>
                <w:b/>
                <w:sz w:val="28"/>
                <w:szCs w:val="28"/>
              </w:rPr>
              <w:suppressLineNumbers w:val="0"/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А.П. Куташова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0"/>
        <w:contextualSpacing w:val="0"/>
        <w:ind w:left="0" w:right="0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p>
      <w:pPr>
        <w:pStyle w:val="660"/>
        <w:contextualSpacing w:val="0"/>
        <w:ind w:left="0" w:right="0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p>
      <w:pPr>
        <w:pStyle w:val="660"/>
        <w:contextualSpacing w:val="0"/>
        <w:ind w:left="0" w:right="567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p>
      <w:pPr>
        <w:pStyle w:val="660"/>
        <w:contextualSpacing w:val="0"/>
        <w:ind w:left="0" w:right="567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p>
      <w:pPr>
        <w:pStyle w:val="660"/>
        <w:contextualSpacing w:val="0"/>
        <w:ind w:left="0" w:right="567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p>
      <w:pPr>
        <w:pStyle w:val="660"/>
        <w:contextualSpacing w:val="0"/>
        <w:ind w:left="0" w:right="567" w:firstLine="0"/>
        <w:jc w:val="left"/>
        <w:spacing w:before="0" w:line="240" w:lineRule="auto"/>
        <w:rPr>
          <w:bCs/>
          <w:sz w:val="18"/>
          <w:szCs w:val="18"/>
        </w:rPr>
        <w:suppressLineNumbers w:val="0"/>
      </w:pPr>
      <w:r>
        <w:rPr>
          <w:bCs/>
          <w:sz w:val="18"/>
          <w:szCs w:val="18"/>
        </w:rPr>
      </w:r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660"/>
              <w:contextualSpacing w:val="0"/>
              <w:jc w:val="both"/>
              <w:spacing w:before="0" w:line="240" w:lineRule="auto"/>
              <w:rPr>
                <w:sz w:val="28"/>
                <w:szCs w:val="28"/>
              </w:rPr>
              <w:suppressLineNumbers w:val="0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654"/>
              <w:contextualSpacing w:val="0"/>
              <w:ind w:left="0" w:right="0" w:firstLine="0"/>
              <w:jc w:val="center"/>
              <w:suppressLineNumbers w:val="0"/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4"/>
              <w:contextualSpacing w:val="0"/>
              <w:ind w:left="0" w:right="0" w:firstLine="0"/>
              <w:jc w:val="center"/>
              <w:tabs>
                <w:tab w:val="left" w:pos="993" w:leader="none"/>
              </w:tabs>
              <w:suppressLineNumbers w:val="0"/>
            </w:pPr>
            <w:r>
              <w:rPr>
                <w:b/>
                <w:sz w:val="28"/>
                <w:szCs w:val="28"/>
              </w:rPr>
              <w:t xml:space="preserve">постановлением администрации </w:t>
            </w:r>
            <w:r>
              <w:rPr>
                <w:b/>
                <w:sz w:val="28"/>
                <w:szCs w:val="28"/>
              </w:rPr>
              <w:t xml:space="preserve">Белгородского района</w:t>
            </w:r>
            <w:r/>
            <w:r>
              <w:rPr>
                <w:b/>
                <w:sz w:val="28"/>
                <w:szCs w:val="28"/>
              </w:rPr>
            </w:r>
          </w:p>
          <w:p>
            <w:pPr>
              <w:pStyle w:val="654"/>
              <w:contextualSpacing w:val="0"/>
              <w:ind w:left="0" w:right="0" w:firstLine="0"/>
              <w:jc w:val="center"/>
              <w:tabs>
                <w:tab w:val="left" w:pos="993" w:leader="none"/>
              </w:tabs>
              <w:rPr>
                <w:bCs/>
              </w:rPr>
              <w:suppressLineNumbers w:val="0"/>
            </w:pPr>
            <w:r>
              <w:rPr>
                <w:b/>
                <w:sz w:val="28"/>
                <w:szCs w:val="28"/>
              </w:rPr>
              <w:t xml:space="preserve">от «____» __________ 2024</w:t>
            </w:r>
            <w:r>
              <w:rPr>
                <w:b/>
                <w:sz w:val="28"/>
                <w:szCs w:val="28"/>
              </w:rPr>
              <w:t xml:space="preserve"> г.</w:t>
            </w:r>
            <w:r>
              <w:rPr>
                <w:b/>
                <w:sz w:val="28"/>
                <w:szCs w:val="28"/>
              </w:rPr>
              <w:t xml:space="preserve"> № ____</w:t>
            </w:r>
            <w:r>
              <w:rPr>
                <w:b/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660"/>
        <w:contextualSpacing w:val="0"/>
        <w:ind w:left="0" w:right="0" w:firstLine="709"/>
        <w:jc w:val="both"/>
        <w:spacing w:before="0" w:line="240" w:lineRule="auto"/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contextualSpacing w:val="0"/>
        <w:ind w:left="0" w:right="0" w:firstLine="709"/>
        <w:jc w:val="both"/>
        <w:spacing w:before="0" w:line="240" w:lineRule="auto"/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tabs>
          <w:tab w:val="left" w:pos="993" w:leader="none"/>
        </w:tabs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center"/>
        <w:tabs>
          <w:tab w:val="left" w:pos="993" w:leader="none"/>
        </w:tabs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Положение</w:t>
      </w: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0"/>
        <w:jc w:val="center"/>
        <w:tabs>
          <w:tab w:val="left" w:pos="993" w:leader="none"/>
        </w:tabs>
        <w:rPr>
          <w:b/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целевом обучении по образовательным программам среднего профессионального и высшего образования </w:t>
      </w:r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tabs>
          <w:tab w:val="left" w:pos="993" w:leader="none"/>
        </w:tabs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numPr>
          <w:ilvl w:val="1"/>
          <w:numId w:val="20"/>
        </w:numPr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Положение о целевом обучении по образовательным программам среднего профессионального и высшего образования (дал</w:t>
      </w:r>
      <w:r>
        <w:rPr>
          <w:rFonts w:ascii="Times New Roman" w:hAnsi="Times New Roman" w:cs="Times New Roman"/>
          <w:sz w:val="28"/>
          <w:szCs w:val="28"/>
        </w:rPr>
        <w:t xml:space="preserve">ее – Положение) разработано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27 апреля 2024 г. № 555 «О целевом обучении                                по образовательным программам среднего профессио</w:t>
      </w:r>
      <w:r>
        <w:rPr>
          <w:rFonts w:ascii="Times New Roman" w:hAnsi="Times New Roman" w:cs="Times New Roman"/>
          <w:sz w:val="28"/>
          <w:szCs w:val="28"/>
        </w:rPr>
        <w:t xml:space="preserve">нального и высшего образования» (далее –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о целевом обучении). 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numPr>
          <w:ilvl w:val="1"/>
          <w:numId w:val="20"/>
        </w:numPr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Положение устанавливает порядок организации и осуществления целевого обучения по образовательным программам среднего профессионального и высшего образования (далее – целевое обучение). </w:t>
      </w:r>
      <w:r>
        <w:rPr>
          <w:sz w:val="28"/>
          <w:szCs w:val="28"/>
        </w:rPr>
      </w:r>
    </w:p>
    <w:p>
      <w:pPr>
        <w:pStyle w:val="667"/>
        <w:numPr>
          <w:ilvl w:val="1"/>
          <w:numId w:val="20"/>
        </w:numPr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Целевое обучение осуществляется на основании договора о целевом обучении, заключенного между гражданином, поступающим на обучение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по образовательной программе или обучающимся по образовательной программе, и органом местного самоуправления, юридическим лицом или индивидуальным предпринимателем (далее – заказчик, гражданин, договор       о целевом обучении).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1.4.</w:t>
        <w:tab/>
      </w:r>
      <w:r>
        <w:rPr>
          <w:sz w:val="28"/>
          <w:szCs w:val="28"/>
        </w:rPr>
        <w:t xml:space="preserve">В случае если договор о целевом обучении предусматривает,          что наряду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гражданином и заказчиком стороной договора о целевом обучении является организация, осуществляющая образовательную</w:t>
      </w:r>
      <w:r>
        <w:rPr>
          <w:sz w:val="28"/>
          <w:szCs w:val="28"/>
        </w:rPr>
        <w:t xml:space="preserve"> деятельность,             в которой гражданин обучается (в которую гражданин принят на обучение)      по образовательной программе, и может являться организация, не являющаяся заказчиком, в которую будет трудоустроен гражданин в соответствии                 с договором о целевом обучении</w:t>
      </w:r>
      <w:r>
        <w:rPr>
          <w:sz w:val="28"/>
          <w:szCs w:val="28"/>
        </w:rPr>
        <w:t xml:space="preserve"> (далее - работодатель).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bookmarkStart w:id="0" w:name="Par47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1.5.</w:t>
        <w:tab/>
      </w:r>
      <w:r>
        <w:rPr>
          <w:sz w:val="28"/>
          <w:szCs w:val="28"/>
        </w:rPr>
        <w:t xml:space="preserve">Заказчиками не могут выступать лица, указанные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https://login.consultant.ru/link/</w:instrText>
      </w:r>
      <w:r>
        <w:rPr>
          <w:sz w:val="28"/>
          <w:szCs w:val="28"/>
        </w:rPr>
        <w:instrText xml:space="preserve">?req=doc&amp;base=LAW&amp;n=482771&amp;date=06.11.2024&amp;dst=100010&amp;field=134 \o "Федеральный закон от 04.06.2018 N 127-ФЗ (ред. от 08.08.2024) \"О мерах воздействия (противодействия) на недружественные действия Соединенных Штатов Америки и иных иностранных государств\"</w:instrText>
      </w:r>
      <w:r>
        <w:rPr>
          <w:sz w:val="28"/>
          <w:szCs w:val="28"/>
        </w:rPr>
        <w:br w:type="textWrapping" w:clear="all"/>
        <w:instrText xml:space="preserve">{КонсультантПлюс}"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части 2         статьи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«О мерах воздействия (противодействия)            на недружественные действия Соединенных Штатов Америки и иных иностранных государств», а также лица, признанные в соответствии                   с законодательством Российской Федерации иностранными агентами.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случае если после заключения договора о целевом обучении заказчик отнесен к числу лиц,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\l Par47  \o "4. Заказчиками не могут выступать лица, указанные в части 2 стать</w:instrText>
      </w:r>
      <w:r>
        <w:rPr>
          <w:sz w:val="28"/>
          <w:szCs w:val="28"/>
        </w:rPr>
        <w:instrText xml:space="preserve">и 1 Федерального закона \"О мерах воздействия (противодействия) на недружественные действия Соединенных Штатов Америки и иных иностранных государств\", а также лица, признанные в соответствии с законодательством Российской Федерации иностранными агентами."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абзаце первом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пункта, или признан иностранным агентом, договор о целевом обучении считается расторгнутым </w:t>
      </w:r>
      <w:r>
        <w:rPr>
          <w:sz w:val="28"/>
          <w:szCs w:val="28"/>
        </w:rPr>
        <w:t xml:space="preserve">и стороны договора о целевом обучении освобождаются              от ответственности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неисполнение обязательств по договору о целевом обучении.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1.6.</w:t>
        <w:tab/>
      </w:r>
      <w:r>
        <w:rPr>
          <w:rFonts w:ascii="Times New Roman" w:hAnsi="Times New Roman" w:cs="Times New Roman"/>
          <w:sz w:val="28"/>
          <w:szCs w:val="28"/>
        </w:rPr>
        <w:t xml:space="preserve">Существенными условиями договора о целевом обучении являются: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1.6.1. </w:t>
      </w:r>
      <w:r>
        <w:rPr>
          <w:sz w:val="28"/>
          <w:szCs w:val="28"/>
        </w:rPr>
        <w:t xml:space="preserve">Обязательства заказчика: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по организации предоставления и (или) предоставлению гражданину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 период обучения мер поддержки, включая меры материального стимулирования, оплату професс</w:t>
      </w:r>
      <w:r>
        <w:rPr>
          <w:sz w:val="28"/>
          <w:szCs w:val="28"/>
        </w:rPr>
        <w:t xml:space="preserve">ионального обучения и дополнительного образования за рамками образовательной программы, осваиваемой                     в соответствии с договором о целевом обучении, предоставление в пользование и (или) оплату жилого помещения в период целевого обучения, и (или) других мер. 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Стороны договора о целевом обучении самостоятельно определяют перечень мер поддержки с указанием порядка, сроков, а также размеров             и (или) иных характеристик их предоставления (при необходимости);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б)</w:t>
        <w:tab/>
      </w:r>
      <w:r>
        <w:rPr>
          <w:sz w:val="28"/>
          <w:szCs w:val="28"/>
        </w:rPr>
        <w:t xml:space="preserve">по трудоустройству гражданина в соответствии с полученной квалификацией не позднее срока, установленного договором о целевом обучении, </w:t>
      </w:r>
      <w:r>
        <w:rPr>
          <w:sz w:val="28"/>
          <w:szCs w:val="28"/>
        </w:rPr>
        <w:t xml:space="preserve">с указанием места осуществления трудовой деятельности                    в соответствии </w:t>
      </w:r>
      <w:r>
        <w:rPr>
          <w:sz w:val="28"/>
          <w:szCs w:val="28"/>
        </w:rPr>
        <w:t xml:space="preserve">с полученной квалификацией.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bookmarkStart w:id="1" w:name="Par53"/>
      <w:r>
        <w:rPr>
          <w:sz w:val="28"/>
          <w:szCs w:val="28"/>
        </w:rPr>
      </w:r>
      <w:bookmarkEnd w:id="1"/>
      <w:r>
        <w:rPr>
          <w:sz w:val="28"/>
          <w:szCs w:val="28"/>
        </w:rPr>
        <w:t xml:space="preserve">1.6.2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Обязательства гражданина: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а)</w:t>
        <w:tab/>
      </w:r>
      <w:r>
        <w:rPr>
          <w:sz w:val="28"/>
          <w:szCs w:val="28"/>
        </w:rPr>
        <w:t xml:space="preserve">по освоению образовательной программы, указанной в договоре            о целевом обучении (с возможностью изменения образовательной программы   и (или) формы обучения по согласованию с заказчиком);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б)</w:t>
        <w:tab/>
      </w:r>
      <w:r>
        <w:rPr>
          <w:sz w:val="28"/>
          <w:szCs w:val="28"/>
        </w:rPr>
        <w:t xml:space="preserve">по осуществлению трудовой деятельности после завершения освоения образовательной программы в месте, определенном договором о целевом обучении, </w:t>
      </w:r>
      <w:r>
        <w:rPr>
          <w:sz w:val="28"/>
          <w:szCs w:val="28"/>
        </w:rPr>
        <w:t xml:space="preserve">в течение не менее 3 лет и не более 5 лет в соответствии                      с полученной квалификацией с учетом трудоустройства в срок, установленный договором о целевом обучении.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1.7. </w:t>
      </w:r>
      <w:r>
        <w:rPr>
          <w:sz w:val="28"/>
          <w:szCs w:val="28"/>
        </w:rPr>
        <w:t xml:space="preserve">Договором о целевом обучении могут предусматриваться условия: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1.7.1. </w:t>
      </w:r>
      <w:r>
        <w:rPr>
          <w:sz w:val="28"/>
          <w:szCs w:val="28"/>
        </w:rPr>
        <w:t xml:space="preserve">О прохождении гражданином практической подготовки у заказчика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или работодателя и об индивидуальном сопровождении гражданина представителем заказчика или работодателя (наставником).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1.7.2. </w:t>
      </w:r>
      <w:r>
        <w:rPr>
          <w:sz w:val="28"/>
          <w:szCs w:val="28"/>
        </w:rPr>
        <w:t xml:space="preserve">О требованиях заказчика к успеваемости гражданина                          и возможности сокращения заказчиком мер поддержки при невыполнении гражданином этих требований.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1.8. </w:t>
      </w:r>
      <w:r>
        <w:rPr>
          <w:sz w:val="28"/>
          <w:szCs w:val="28"/>
        </w:rPr>
        <w:t xml:space="preserve">Договор о целевом обучении заключается в соответствии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с постановлением о целевом обучении. 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sz w:val="28"/>
          <w:szCs w:val="28"/>
        </w:rPr>
        <w:t xml:space="preserve">Заключения договора о целевом обучении, стороной которого является орган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или подведомственная соответствующему органу организация и который включает в себя обязательство гражданина по прохождению муниципальной службы после завершения обучения, определяются в порядке, установленном законодательством о муниципальной службе.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1.10.</w:t>
        <w:tab/>
      </w:r>
      <w:r>
        <w:rPr>
          <w:rFonts w:ascii="Times New Roman" w:hAnsi="Times New Roman" w:cs="Times New Roman"/>
          <w:sz w:val="28"/>
          <w:szCs w:val="28"/>
        </w:rPr>
        <w:t xml:space="preserve"> В целях информирования учреждений, организаций (предприятий),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 xml:space="preserve">1.3.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Par45  \o "2. Целевое обучение осуществляется на основании договора о целевом обучении, заключенного между гражданином, поступающим на обучение по образовательной программе или обучающимся по образовательной программе, и феде</w:instrText>
      </w:r>
      <w:r>
        <w:rPr>
          <w:rFonts w:ascii="Times New Roman" w:hAnsi="Times New Roman" w:cs="Times New Roman"/>
          <w:sz w:val="28"/>
          <w:szCs w:val="28"/>
        </w:rPr>
        <w:instrText xml:space="preserve">ральным государственным органом, органом государственной власти субъекта Российской Федерации, органом местного самоуправления, юридическим лицом или индивидуальным предпринимателем (далее соответственно - заказчик, гражданин, договор о целевом обучении)."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 и граждан</w:t>
      </w:r>
      <w:r>
        <w:rPr>
          <w:rFonts w:ascii="Times New Roman" w:hAnsi="Times New Roman" w:cs="Times New Roman"/>
          <w:sz w:val="28"/>
          <w:szCs w:val="28"/>
        </w:rPr>
        <w:t xml:space="preserve">, формирования потребности в специалистах: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1.10.1. </w:t>
      </w:r>
      <w:r>
        <w:rPr>
          <w:rFonts w:ascii="Times New Roman" w:hAnsi="Times New Roman" w:cs="Times New Roman"/>
          <w:sz w:val="28"/>
          <w:szCs w:val="28"/>
        </w:rPr>
        <w:t xml:space="preserve">Отдел по труду комитета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администрации Белгородского района направляет уведомления о возможности удовлетворения кадровой потребности путем привлечения граждан на условиях целевого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руководителей организаций (предприятий), осуществляющих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«Белгородский район» Белгородской области и</w:t>
      </w:r>
      <w:r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не позднее 25 марта предоставляет      в управление образования администрации 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сведения          о потребности в специалистах </w:t>
      </w:r>
      <w:r>
        <w:rPr>
          <w:rFonts w:ascii="Times New Roman" w:hAnsi="Times New Roman" w:cs="Times New Roman"/>
          <w:sz w:val="28"/>
          <w:szCs w:val="28"/>
        </w:rPr>
        <w:t xml:space="preserve">со средним профессиональным и высшим образованием на текущий год.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1.10.2. </w:t>
      </w:r>
      <w:r>
        <w:rPr>
          <w:rFonts w:ascii="Times New Roman" w:hAnsi="Times New Roman" w:cs="Times New Roman"/>
          <w:sz w:val="28"/>
          <w:szCs w:val="28"/>
        </w:rPr>
        <w:t xml:space="preserve">Управление кадровой политики аппарата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Белгородского района ежегодно в срок не позднее 25 марта предоставляет          в управление образования администрации Белгородского района сведения          о потребности в специалистах администрации Белгородского района с высшим образованием на текущий год.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1.10.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Белгородского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полученных сведений от</w:t>
      </w:r>
      <w:r>
        <w:rPr>
          <w:rFonts w:ascii="Times New Roman" w:hAnsi="Times New Roman" w:cs="Times New Roman"/>
          <w:sz w:val="28"/>
          <w:szCs w:val="28"/>
        </w:rPr>
        <w:t xml:space="preserve"> аппарата администрации Белгородского района и</w:t>
      </w:r>
      <w:r>
        <w:rPr>
          <w:rFonts w:ascii="Times New Roman" w:hAnsi="Times New Roman" w:cs="Times New Roman"/>
          <w:sz w:val="28"/>
          <w:szCs w:val="28"/>
        </w:rPr>
        <w:t xml:space="preserve"> комитета экономического развития администрации Белгородского района ежегодно </w:t>
      </w:r>
      <w:r>
        <w:rPr>
          <w:rFonts w:ascii="Times New Roman" w:hAnsi="Times New Roman" w:cs="Times New Roman"/>
          <w:sz w:val="28"/>
          <w:szCs w:val="28"/>
        </w:rPr>
        <w:t xml:space="preserve">в срок до 30 апреля информирует обучающихся муниципальных образовательных организаций муниципального района «Белгородский район» Белгородской области о возможности заключения договоров о целевом обучении.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1.11.</w:t>
      </w:r>
      <w:r>
        <w:rPr>
          <w:rFonts w:ascii="Times New Roman" w:hAnsi="Times New Roman" w:cs="Times New Roman"/>
          <w:sz w:val="28"/>
          <w:szCs w:val="28"/>
        </w:rPr>
        <w:t xml:space="preserve"> </w:t>
        <w:tab/>
      </w:r>
      <w:r>
        <w:rPr>
          <w:rFonts w:ascii="Times New Roman" w:hAnsi="Times New Roman" w:cs="Times New Roman"/>
          <w:sz w:val="28"/>
          <w:szCs w:val="28"/>
        </w:rPr>
        <w:t xml:space="preserve">Заказчики размещают предложения на цифровой платформе «Работа </w:t>
      </w:r>
      <w:r>
        <w:rPr>
          <w:rFonts w:ascii="Times New Roman" w:hAnsi="Times New Roman" w:cs="Times New Roman"/>
          <w:sz w:val="28"/>
          <w:szCs w:val="28"/>
        </w:rPr>
        <w:t xml:space="preserve">в России»: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1.11.1. </w:t>
      </w:r>
      <w:r>
        <w:rPr>
          <w:sz w:val="28"/>
          <w:szCs w:val="28"/>
        </w:rPr>
        <w:t xml:space="preserve">Для граждан, поступающих на обучение по образовательным программам – не позднее 10 июня года, в котором осуществляется прием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на обучение;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418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1.11.2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Для граждан, обучающихся по образовательным программам –       в сроки, определяемые заказчиками.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Предложения для граждан, поступающих на обучение                                по образовательным программам, не могут быть изменены после 10 июня года приема.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bookmarkStart w:id="2" w:name="Par81"/>
      <w:r>
        <w:rPr>
          <w:sz w:val="28"/>
          <w:szCs w:val="28"/>
        </w:rPr>
      </w:r>
      <w:bookmarkEnd w:id="2"/>
      <w:r>
        <w:rPr>
          <w:sz w:val="28"/>
          <w:szCs w:val="28"/>
        </w:rPr>
        <w:t xml:space="preserve">Обязанность заказчика размещать предложения на цифровой платформе «Работа в России» не распространяется на целевое обучение в интересах безопасности государства, а также на случаи, если заказчиками являются органы, указанные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https://login.consultant.ru/link/?req=doc&amp;base=LAW&amp;n=470336&amp;date=06.11.2024&amp;dst=39&amp;field=134 \o "Федеральный закон от 29.12.2012 N 273-ФЗ (ред. от 08.08.2024) \"Об образовании в Российской Федерации\" (с изм. и доп., вступ. в силу с 01.09.2024)</w:instrText>
      </w:r>
      <w:r>
        <w:rPr>
          <w:sz w:val="28"/>
          <w:szCs w:val="28"/>
        </w:rPr>
        <w:br w:type="textWrapping" w:clear="all"/>
        <w:instrText xml:space="preserve">{КонсультантПлюс}"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части 1 статьи 81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«Об образовании    в Российской Федерации», Управление</w:t>
      </w:r>
      <w:r>
        <w:rPr>
          <w:sz w:val="28"/>
          <w:szCs w:val="28"/>
        </w:rPr>
        <w:t xml:space="preserve"> делами Президента Российской Федерации и подведомственные ему организации, а также на случаи, если заказчиками или работодателями являются организации, включенные                  в сводный реестр организаций оборонно-промышленного комплекса, формируемый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h</w:instrText>
      </w:r>
      <w:r>
        <w:rPr>
          <w:sz w:val="28"/>
          <w:szCs w:val="28"/>
        </w:rPr>
        <w:instrText xml:space="preserve">ttps://login.consultant.ru/link/?req=doc&amp;base=LAW&amp;n=465974&amp;date=06.11.2024&amp;dst=100211&amp;field=134 \o "Федеральный закон от 31.12.2014 N 488-ФЗ (ред. от 25.12.2023) \"О промышленной политике в Российской Федерации\" (с изм. и доп., вступ. в силу с 01.07.2024)</w:instrText>
      </w:r>
      <w:r>
        <w:rPr>
          <w:sz w:val="28"/>
          <w:szCs w:val="28"/>
        </w:rPr>
        <w:br w:type="textWrapping" w:clear="all"/>
        <w:instrText xml:space="preserve">------------ Недействующая редакция</w:instrText>
      </w:r>
      <w:r>
        <w:rPr>
          <w:sz w:val="28"/>
          <w:szCs w:val="28"/>
        </w:rPr>
        <w:br w:type="textWrapping" w:clear="all"/>
        <w:instrText xml:space="preserve">{КонсультантПлюс}"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частью 2 статьи 21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         «О промышленной политике в Российской Федерации».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Заказчики формируют предложения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\l Par1100  \o "ФОРМА ПРЕДЛОЖЕНИЙ"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формой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предложений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заключении договора или договоров о целевом обучении          по образовательной программе среднего профессионального или высшего образования, утвержденной постановлением о целевом обучении.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Предложение формируется заказчиком для заключения одного договора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о целевом обучении либо для заключения нескольких договоров о целевом обучении, если заказчик предлагает гражданам одинаковые условия                для заключения договоров </w:t>
      </w:r>
      <w:r>
        <w:rPr>
          <w:sz w:val="28"/>
          <w:szCs w:val="28"/>
        </w:rPr>
        <w:t xml:space="preserve">о целевом обучении.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418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1.12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Граждане, желающие заключить договор о целевом обучени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подают заявки в</w:t>
      </w:r>
      <w:r>
        <w:rPr>
          <w:sz w:val="28"/>
          <w:szCs w:val="28"/>
        </w:rPr>
        <w:t xml:space="preserve"> соответствии с предложениями и постановлением о целевом обучении.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случае если гражданин является несовершеннолетним</w:t>
      </w:r>
      <w:r>
        <w:rPr>
          <w:sz w:val="28"/>
          <w:szCs w:val="28"/>
        </w:rPr>
        <w:t xml:space="preserve">, к заявке прилагается письменное согласие законного представителя гражданина – родителя, усыновителя или попечителя на заключение договора о целевом обучении. Согласие законного представителя не требуется в случаях,             если гражданин приобрел дееспособность </w:t>
      </w:r>
      <w:r>
        <w:rPr>
          <w:sz w:val="28"/>
          <w:szCs w:val="28"/>
        </w:rPr>
        <w:t xml:space="preserve">в полном объеме в соответствии         с законодательством Российской Федерации.</w:t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1.13.</w:t>
        <w:tab/>
      </w:r>
      <w:r>
        <w:rPr>
          <w:rFonts w:ascii="Times New Roman" w:hAnsi="Times New Roman" w:cs="Times New Roman"/>
          <w:sz w:val="28"/>
          <w:szCs w:val="28"/>
        </w:rPr>
        <w:t xml:space="preserve">Договор о целевом обучении заключается в соответствии с типовой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Par559  \o "ТИПОВАЯ ФОРМА ДОГОВОРА"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формой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договора о целевом обучении по образовательной программе среднего профессионального или высшего образования,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 целевом обучении.</w:t>
      </w:r>
      <w:bookmarkStart w:id="3" w:name="Par138"/>
      <w:r>
        <w:rPr>
          <w:sz w:val="28"/>
          <w:szCs w:val="28"/>
        </w:rPr>
      </w:r>
      <w:bookmarkEnd w:id="3"/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Заключение договора о целевом обучении осуществляется в электронном виде или в письменном виде на бумажном носителе.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При заключении договора о целевом обучении в электронном виде заказчик, организация, осуществляющая образовательную деятельность            (в случае если она являетс</w:t>
      </w:r>
      <w:r>
        <w:rPr>
          <w:sz w:val="28"/>
          <w:szCs w:val="28"/>
        </w:rPr>
        <w:t xml:space="preserve">я стороной договора), и работодатель (в случае если он является стороной договора) подписывают договор о целевом обучении       на цифровой платформе «Работа в России», гражданин подписывает договор     о целевом обучении посредством мобильного приложения «Госключ».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При заключении договора о целевом обучении в письменном виде           на бумажном носителе он заключается в количестве экземпляров по числу сторон договора </w:t>
      </w:r>
      <w:r>
        <w:rPr>
          <w:sz w:val="28"/>
          <w:szCs w:val="28"/>
        </w:rPr>
        <w:t xml:space="preserve">о целевом обучении.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2024 – 2025 учебном году заключение договора о целевом обучении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с гражданином, обучающимся по образовательной программе, осуществляется только в письменном виде на бумажном носителе.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случае, если заказчиком по договору о целевом обучении является администрация Белгородского района, управление кадровой политики </w:t>
      </w:r>
      <w:r>
        <w:rPr>
          <w:sz w:val="28"/>
          <w:szCs w:val="28"/>
        </w:rPr>
        <w:t xml:space="preserve">аппарата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не позднее 30 июня организовывает заключение с гражданами</w:t>
      </w:r>
      <w:r>
        <w:rPr>
          <w:sz w:val="28"/>
          <w:szCs w:val="28"/>
        </w:rPr>
        <w:t xml:space="preserve"> договоров о целевом обучении.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contextualSpacing w:val="0"/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1.14.</w:t>
      </w:r>
      <w:r>
        <w:rPr>
          <w:rFonts w:ascii="Times New Roman" w:hAnsi="Times New Roman" w:cs="Times New Roman"/>
          <w:sz w:val="28"/>
          <w:szCs w:val="28"/>
        </w:rPr>
        <w:t xml:space="preserve"> Заказчик может оплачивать обучение гражданина                               по 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бразовательной программе полностью или частично. Заказчик может оплачивать обучение гражданина по образовательной программе непосредственно и (или) путем выплаты компенсации гражданину (физическому или юридическому лицу, оплачивающему обучение гражданина).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случае если заказчик оплачивает обучение гражданина                           по образовательной программе, договор о целевом обучении может содержать условия договора </w:t>
      </w:r>
      <w:r>
        <w:rPr>
          <w:sz w:val="28"/>
          <w:szCs w:val="28"/>
        </w:rPr>
        <w:t xml:space="preserve">об оказании платных образовательных услуг, предусмотренные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</w:instrText>
      </w:r>
      <w:r>
        <w:rPr>
          <w:sz w:val="28"/>
          <w:szCs w:val="28"/>
        </w:rPr>
        <w:instrText xml:space="preserve">PERLINK https://login.consultant.ru/link/?req=doc&amp;base=LAW&amp;n=470336&amp;date=06.11.2024&amp;dst=100741&amp;field=134 \o "Федеральный закон от 29.12.2012 N 273-ФЗ (ред. от 08.08.2024) \"Об образовании в Российской Федерации\" (с изм. и доп., вступ. в силу с 01.09.2024)</w:instrText>
      </w:r>
      <w:r>
        <w:rPr>
          <w:sz w:val="28"/>
          <w:szCs w:val="28"/>
        </w:rPr>
        <w:br w:type="textWrapping" w:clear="all"/>
        <w:instrText xml:space="preserve">{КонсультантПлюс}"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статьей 54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Федерального закона «Об образовании                    в Российской Федерации», либо заказчик может заключить договор о целевом обучении и договор об оказании платных образовательных услуг.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Оплата обучения гражданина заказчиком полностью или частично            (в том числе путем выплаты компенсации на оплату обучения) является мерой поддержки, предоставляемой заказчиком гражданину в период обучения            в соответствии </w:t>
      </w:r>
      <w:r>
        <w:rPr>
          <w:sz w:val="28"/>
          <w:szCs w:val="28"/>
        </w:rPr>
        <w:t xml:space="preserve">с договором о целевом обучении.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Договор о целевом обучении может содержать иные условия,                    не ухудшающие положение сторон договора о целевом обучении по сравнению с установленным законодательством Российской Федерации.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По соглашению сторон договора о целевом обучении в него могут быть внесены изменения.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1418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1.15. </w:t>
      </w:r>
      <w:r>
        <w:rPr>
          <w:sz w:val="28"/>
          <w:szCs w:val="28"/>
        </w:rPr>
        <w:t xml:space="preserve">В случае если заказчиком является администрация Белгородского района гражданам, заключившим договор о целевом обучении предусматривается материальное стимулирование.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Размер материального стимулирования по договору о целевом обучении составляет 2 500 (две тысячи пятьсот) рублей 00 копеек (с учетом НДФЛ)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и выплачивается администрацией Белгородского района ежемесячно до 25 числа месяца, следующего за расчетным в течении учебного года в период        с сентября</w:t>
      </w:r>
      <w:r>
        <w:rPr>
          <w:sz w:val="28"/>
          <w:szCs w:val="28"/>
        </w:rPr>
        <w:t xml:space="preserve"> по май. 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целях осуществления материального стимулирования, </w:t>
      </w:r>
      <w:r>
        <w:rPr>
          <w:sz w:val="28"/>
          <w:szCs w:val="28"/>
        </w:rPr>
        <w:t xml:space="preserve">гражданин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предоставляет</w:t>
      </w:r>
      <w:r>
        <w:rPr>
          <w:sz w:val="28"/>
          <w:szCs w:val="28"/>
        </w:rPr>
        <w:t xml:space="preserve"> в управление кадровой политики аппарата администрации </w:t>
      </w:r>
      <w:r>
        <w:rPr>
          <w:sz w:val="28"/>
          <w:szCs w:val="28"/>
        </w:rPr>
        <w:t xml:space="preserve">Белгородского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заявление о материальном стимулировании в свободной форме и документ, подтверждающий факт обучения в </w:t>
      </w:r>
      <w:r>
        <w:rPr>
          <w:sz w:val="28"/>
          <w:szCs w:val="28"/>
        </w:rPr>
        <w:t xml:space="preserve">образовательной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</w:t>
      </w:r>
      <w:r>
        <w:rPr>
          <w:sz w:val="28"/>
          <w:szCs w:val="28"/>
        </w:rPr>
        <w:t xml:space="preserve"> (предоставляется 1 раз в полгода после окончания очередной </w:t>
      </w:r>
      <w:r>
        <w:rPr>
          <w:sz w:val="28"/>
          <w:szCs w:val="28"/>
        </w:rPr>
        <w:t xml:space="preserve">сессии</w:t>
      </w:r>
      <w:r>
        <w:rPr>
          <w:sz w:val="28"/>
          <w:szCs w:val="28"/>
        </w:rPr>
        <w:t xml:space="preserve"> в с</w:t>
      </w:r>
      <w:r>
        <w:rPr>
          <w:sz w:val="28"/>
          <w:szCs w:val="28"/>
        </w:rPr>
        <w:t xml:space="preserve">рок </w:t>
      </w:r>
      <w:r>
        <w:rPr>
          <w:sz w:val="28"/>
          <w:szCs w:val="28"/>
        </w:rPr>
        <w:t xml:space="preserve">до 15 февраля и до 15 июля).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Управление кадровой политики аппарата администрации Белгородского района: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а)</w:t>
      </w:r>
      <w:r>
        <w:rPr>
          <w:sz w:val="28"/>
          <w:szCs w:val="28"/>
        </w:rPr>
        <w:t xml:space="preserve"> подготавливает проект распоряжения администрации Белгородского района Белгородской области о материальном стимулировании граждан                в течении 5 рабочих дней со дня предоставления гражданином документов, указанных в пункте </w:t>
      </w:r>
      <w:r>
        <w:rPr>
          <w:sz w:val="28"/>
          <w:szCs w:val="28"/>
        </w:rPr>
        <w:t xml:space="preserve">1.15. настоящего Положения;</w:t>
      </w:r>
      <w:r>
        <w:rPr>
          <w:sz w:val="28"/>
          <w:szCs w:val="28"/>
        </w:rPr>
      </w:r>
    </w:p>
    <w:p>
      <w:pPr>
        <w:pStyle w:val="654"/>
        <w:contextualSpacing w:val="0"/>
        <w:ind w:left="0" w:right="0" w:firstLine="709"/>
        <w:jc w:val="both"/>
        <w:widowControl w:val="off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б)</w:t>
      </w:r>
      <w:r>
        <w:rPr>
          <w:sz w:val="28"/>
          <w:szCs w:val="28"/>
        </w:rPr>
        <w:t xml:space="preserve"> не позднее 30 августа предоставляет соответствующие сведения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в управление финансово-рес</w:t>
      </w:r>
      <w:r>
        <w:rPr>
          <w:sz w:val="28"/>
          <w:szCs w:val="28"/>
        </w:rPr>
        <w:t xml:space="preserve">урсного обеспечения деятельности администрации Белгородского района о количестве заключенных от имени администрации Белгородского района договоров о целевом обучении для включения суммы денежных средств, необходимых для материального стимулирования граждан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по договору о целевом обучении в проект бюджета муниципального района «Белгородский район» Белгородской области на очередной финансовый год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и плановый период в соответствии с  распоряжением администрации Белгородского района Белгородской области о материальном стимулировании граждан.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  <w:p>
    <w:pPr>
      <w:pStyle w:val="6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pStyle w:val="654"/>
        <w:ind w:left="927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4"/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4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4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4"/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4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4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4"/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4"/>
        <w:ind w:left="6687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174" w:hanging="3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8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8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3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40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74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4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90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840" w:hanging="180"/>
      </w:pPr>
    </w:lvl>
  </w:abstractNum>
  <w:abstractNum w:abstractNumId="3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pStyle w:val="654"/>
        <w:ind w:left="90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4"/>
        <w:ind w:left="16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4"/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4"/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4"/>
        <w:ind w:left="37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4"/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4"/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4"/>
        <w:ind w:left="59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4"/>
        <w:ind w:left="666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744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4"/>
        <w:ind w:left="42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4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4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4"/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4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4"/>
        <w:ind w:left="1800" w:hanging="180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4"/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4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4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4"/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4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4"/>
        <w:ind w:left="1800" w:hanging="1800"/>
      </w:pPr>
    </w:lvl>
  </w:abstractNum>
  <w:abstractNum w:abstractNumId="12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pStyle w:val="654"/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54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4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4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4"/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1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8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8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3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40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74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4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90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855" w:hanging="49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0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7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44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1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38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60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3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0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762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4"/>
        <w:ind w:left="11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4"/>
        <w:ind w:left="18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4"/>
        <w:ind w:left="258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4"/>
        <w:ind w:left="33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4"/>
        <w:ind w:left="40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4"/>
        <w:ind w:left="474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4"/>
        <w:ind w:left="54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4"/>
        <w:ind w:left="61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4"/>
        <w:ind w:left="6904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5"/>
  </w:num>
  <w:num w:numId="5">
    <w:abstractNumId w:val="17"/>
  </w:num>
  <w:num w:numId="6">
    <w:abstractNumId w:val="15"/>
  </w:num>
  <w:num w:numId="7">
    <w:abstractNumId w:val="14"/>
  </w:num>
  <w:num w:numId="8">
    <w:abstractNumId w:val="7"/>
  </w:num>
  <w:num w:numId="9">
    <w:abstractNumId w:val="16"/>
  </w:num>
  <w:num w:numId="10">
    <w:abstractNumId w:val="10"/>
  </w:num>
  <w:num w:numId="11">
    <w:abstractNumId w:val="4"/>
  </w:num>
  <w:num w:numId="12">
    <w:abstractNumId w:val="9"/>
  </w:num>
  <w:num w:numId="13">
    <w:abstractNumId w:val="13"/>
  </w:num>
  <w:num w:numId="14">
    <w:abstractNumId w:val="11"/>
  </w:num>
  <w:num w:numId="15">
    <w:abstractNumId w:val="8"/>
  </w:num>
  <w:num w:numId="16">
    <w:abstractNumId w:val="12"/>
  </w:num>
  <w:num w:numId="17">
    <w:abstractNumId w:val="3"/>
  </w:num>
  <w:num w:numId="18">
    <w:abstractNumId w:val="6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4"/>
    <w:next w:val="65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4"/>
    <w:next w:val="65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next w:val="654"/>
    <w:link w:val="654"/>
    <w:qFormat/>
    <w:rPr>
      <w:lang w:val="ru-RU" w:eastAsia="ru-RU" w:bidi="ar-SA"/>
    </w:rPr>
  </w:style>
  <w:style w:type="paragraph" w:styleId="655">
    <w:name w:val="Заголовок 1"/>
    <w:basedOn w:val="654"/>
    <w:next w:val="654"/>
    <w:link w:val="654"/>
    <w:qFormat/>
    <w:pPr>
      <w:jc w:val="center"/>
      <w:keepNext/>
      <w:outlineLvl w:val="0"/>
    </w:pPr>
    <w:rPr>
      <w:rFonts w:ascii="Arial" w:hAnsi="Arial"/>
      <w:b/>
      <w:sz w:val="44"/>
    </w:rPr>
  </w:style>
  <w:style w:type="paragraph" w:styleId="656">
    <w:name w:val="Заголовок 2"/>
    <w:basedOn w:val="654"/>
    <w:next w:val="654"/>
    <w:link w:val="654"/>
    <w:qFormat/>
    <w:pPr>
      <w:jc w:val="center"/>
      <w:keepNext/>
      <w:outlineLvl w:val="1"/>
    </w:pPr>
    <w:rPr>
      <w:b/>
      <w:sz w:val="22"/>
    </w:rPr>
  </w:style>
  <w:style w:type="character" w:styleId="657">
    <w:name w:val="Основной шрифт абзаца"/>
    <w:next w:val="657"/>
    <w:link w:val="654"/>
    <w:semiHidden/>
  </w:style>
  <w:style w:type="table" w:styleId="658">
    <w:name w:val="Обычная таблица"/>
    <w:next w:val="658"/>
    <w:link w:val="654"/>
    <w:semiHidden/>
    <w:tblPr/>
  </w:style>
  <w:style w:type="numbering" w:styleId="659">
    <w:name w:val="Нет списка"/>
    <w:next w:val="659"/>
    <w:link w:val="654"/>
    <w:semiHidden/>
  </w:style>
  <w:style w:type="paragraph" w:styleId="660">
    <w:name w:val="Цитата"/>
    <w:basedOn w:val="654"/>
    <w:next w:val="660"/>
    <w:link w:val="654"/>
    <w:pPr>
      <w:ind w:left="567" w:right="282"/>
      <w:jc w:val="both"/>
      <w:spacing w:before="2340" w:line="260" w:lineRule="auto"/>
    </w:pPr>
    <w:rPr>
      <w:sz w:val="28"/>
    </w:rPr>
  </w:style>
  <w:style w:type="paragraph" w:styleId="661">
    <w:name w:val="Верхний колонтитул"/>
    <w:basedOn w:val="654"/>
    <w:next w:val="661"/>
    <w:link w:val="666"/>
    <w:uiPriority w:val="99"/>
    <w:pPr>
      <w:tabs>
        <w:tab w:val="center" w:pos="4677" w:leader="none"/>
        <w:tab w:val="right" w:pos="9355" w:leader="none"/>
      </w:tabs>
    </w:pPr>
  </w:style>
  <w:style w:type="character" w:styleId="662">
    <w:name w:val="Номер страницы"/>
    <w:basedOn w:val="657"/>
    <w:next w:val="662"/>
    <w:link w:val="654"/>
  </w:style>
  <w:style w:type="paragraph" w:styleId="663">
    <w:name w:val="Основной текст"/>
    <w:basedOn w:val="654"/>
    <w:next w:val="663"/>
    <w:link w:val="654"/>
    <w:pPr>
      <w:jc w:val="both"/>
    </w:pPr>
    <w:rPr>
      <w:sz w:val="24"/>
    </w:rPr>
  </w:style>
  <w:style w:type="paragraph" w:styleId="664">
    <w:name w:val="Основной текст 2"/>
    <w:basedOn w:val="654"/>
    <w:next w:val="664"/>
    <w:link w:val="665"/>
    <w:pPr>
      <w:spacing w:after="120" w:line="480" w:lineRule="auto"/>
    </w:pPr>
  </w:style>
  <w:style w:type="character" w:styleId="665">
    <w:name w:val="Основной текст 2 Знак"/>
    <w:next w:val="665"/>
    <w:link w:val="664"/>
    <w:rPr>
      <w:lang w:val="ru-RU" w:eastAsia="ru-RU" w:bidi="ar-SA"/>
    </w:rPr>
  </w:style>
  <w:style w:type="character" w:styleId="666">
    <w:name w:val="Верхний колонтитул Знак"/>
    <w:next w:val="666"/>
    <w:link w:val="661"/>
    <w:uiPriority w:val="99"/>
    <w:rPr>
      <w:lang w:val="ru-RU" w:eastAsia="ru-RU" w:bidi="ar-SA"/>
    </w:rPr>
  </w:style>
  <w:style w:type="paragraph" w:styleId="667">
    <w:name w:val="ConsPlusNormal"/>
    <w:next w:val="667"/>
    <w:link w:val="654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table" w:styleId="668">
    <w:name w:val="Сетка таблицы"/>
    <w:basedOn w:val="658"/>
    <w:next w:val="668"/>
    <w:link w:val="654"/>
    <w:uiPriority w:val="39"/>
    <w:rPr>
      <w:lang w:bidi="ar-SA"/>
    </w:rPr>
    <w:tblPr/>
  </w:style>
  <w:style w:type="character" w:styleId="669">
    <w:name w:val="Гиперссылка"/>
    <w:next w:val="669"/>
    <w:link w:val="654"/>
    <w:rPr>
      <w:color w:val="0000ff"/>
      <w:u w:val="single"/>
    </w:rPr>
  </w:style>
  <w:style w:type="paragraph" w:styleId="670">
    <w:name w:val="Нижний колонтитул"/>
    <w:basedOn w:val="654"/>
    <w:next w:val="670"/>
    <w:link w:val="674"/>
    <w:pPr>
      <w:tabs>
        <w:tab w:val="center" w:pos="4677" w:leader="none"/>
        <w:tab w:val="right" w:pos="9355" w:leader="none"/>
      </w:tabs>
    </w:pPr>
  </w:style>
  <w:style w:type="paragraph" w:styleId="671">
    <w:name w:val="Текст выноски"/>
    <w:basedOn w:val="654"/>
    <w:next w:val="671"/>
    <w:link w:val="672"/>
    <w:rPr>
      <w:rFonts w:ascii="Segoe UI" w:hAnsi="Segoe UI"/>
      <w:sz w:val="18"/>
      <w:szCs w:val="18"/>
      <w:lang w:val="en-US" w:eastAsia="en-US"/>
    </w:rPr>
  </w:style>
  <w:style w:type="character" w:styleId="672">
    <w:name w:val="Текст выноски Знак"/>
    <w:next w:val="672"/>
    <w:link w:val="671"/>
    <w:rPr>
      <w:rFonts w:ascii="Segoe UI" w:hAnsi="Segoe UI" w:cs="Segoe UI"/>
      <w:sz w:val="18"/>
      <w:szCs w:val="18"/>
    </w:rPr>
  </w:style>
  <w:style w:type="numbering" w:styleId="673">
    <w:name w:val="Нет списка1"/>
    <w:next w:val="659"/>
    <w:link w:val="654"/>
    <w:semiHidden/>
  </w:style>
  <w:style w:type="character" w:styleId="674">
    <w:name w:val="Нижний колонтитул Знак"/>
    <w:next w:val="674"/>
    <w:link w:val="670"/>
  </w:style>
  <w:style w:type="paragraph" w:styleId="675">
    <w:name w:val="Обычный (веб)"/>
    <w:basedOn w:val="654"/>
    <w:next w:val="675"/>
    <w:link w:val="65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676">
    <w:name w:val="Строгий"/>
    <w:next w:val="676"/>
    <w:link w:val="654"/>
    <w:uiPriority w:val="22"/>
    <w:qFormat/>
    <w:rPr>
      <w:b/>
      <w:bCs/>
    </w:rPr>
  </w:style>
  <w:style w:type="character" w:styleId="677">
    <w:name w:val="Выделение"/>
    <w:next w:val="677"/>
    <w:link w:val="654"/>
    <w:uiPriority w:val="20"/>
    <w:qFormat/>
    <w:rPr>
      <w:i/>
      <w:iCs/>
    </w:rPr>
  </w:style>
  <w:style w:type="paragraph" w:styleId="678">
    <w:name w:val="formattext"/>
    <w:basedOn w:val="654"/>
    <w:next w:val="678"/>
    <w:link w:val="654"/>
    <w:pPr>
      <w:spacing w:before="100" w:beforeAutospacing="1" w:after="100" w:afterAutospacing="1"/>
    </w:pPr>
    <w:rPr>
      <w:sz w:val="24"/>
      <w:szCs w:val="24"/>
    </w:rPr>
  </w:style>
  <w:style w:type="paragraph" w:styleId="679">
    <w:name w:val="Без интервала"/>
    <w:next w:val="679"/>
    <w:link w:val="654"/>
    <w:uiPriority w:val="99"/>
    <w:qFormat/>
    <w:rPr>
      <w:rFonts w:eastAsia="Calibri"/>
      <w:sz w:val="28"/>
      <w:szCs w:val="22"/>
      <w:lang w:val="ru-RU" w:eastAsia="en-US" w:bidi="ar-SA"/>
    </w:rPr>
  </w:style>
  <w:style w:type="paragraph" w:styleId="680">
    <w:name w:val="ConsPlusTitle"/>
    <w:next w:val="680"/>
    <w:link w:val="654"/>
    <w:pPr>
      <w:widowControl w:val="off"/>
    </w:pPr>
    <w:rPr>
      <w:rFonts w:ascii="Calibri" w:hAnsi="Calibri" w:cs="Calibri"/>
      <w:b/>
      <w:sz w:val="22"/>
      <w:szCs w:val="22"/>
      <w:lang w:val="ru-RU" w:eastAsia="ru-RU" w:bidi="ar-SA"/>
    </w:rPr>
  </w:style>
  <w:style w:type="character" w:styleId="1365" w:default="1">
    <w:name w:val="Default Paragraph Font"/>
    <w:uiPriority w:val="1"/>
    <w:semiHidden/>
    <w:unhideWhenUsed/>
  </w:style>
  <w:style w:type="numbering" w:styleId="1366" w:default="1">
    <w:name w:val="No List"/>
    <w:uiPriority w:val="99"/>
    <w:semiHidden/>
    <w:unhideWhenUsed/>
  </w:style>
  <w:style w:type="table" w:styleId="13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КУМС</dc:creator>
  <cp:revision>10785</cp:revision>
  <dcterms:created xsi:type="dcterms:W3CDTF">2011-05-11T13:17:00Z</dcterms:created>
  <dcterms:modified xsi:type="dcterms:W3CDTF">2024-11-12T08:33:53Z</dcterms:modified>
  <cp:version>983040</cp:version>
</cp:coreProperties>
</file>