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Обоснование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необходимости</w:t>
      </w:r>
      <w:r>
        <w:rPr>
          <w:rFonts w:ascii="Times New Roman" w:hAnsi="Times New Roman" w:eastAsia="Calibri" w:cs="Times New Roman"/>
          <w:b/>
          <w:color w:val="000000"/>
          <w:sz w:val="26"/>
          <w:szCs w:val="26"/>
          <w:lang w:eastAsia="ru-RU"/>
        </w:rPr>
        <w:t xml:space="preserve"> реализации предлагаемых решений посредством принятия нормативного правового акта, в том числе их влияния на конкуренцию </w:t>
      </w:r>
      <w:r/>
    </w:p>
    <w:p>
      <w:pPr>
        <w:jc w:val="center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5"/>
              <w:jc w:val="center"/>
              <w:spacing w:after="0" w:afterAutospacing="0" w:line="240" w:lineRule="auto"/>
            </w:pP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ind w:right="-2"/>
              <w:jc w:val="center"/>
              <w:tabs>
                <w:tab w:val="left" w:pos="4962" w:leader="none"/>
              </w:tabs>
            </w:pPr>
            <w:r>
              <w:rPr>
                <w:rFonts w:ascii="Tinos" w:hAnsi="Tinos" w:eastAsia="Times New Roman" w:cs="Tinos"/>
                <w:b/>
                <w:i/>
                <w:iCs/>
                <w:sz w:val="24"/>
                <w:szCs w:val="24"/>
                <w:lang w:eastAsia="ru-RU"/>
              </w:rPr>
              <w:t xml:space="preserve">Об утверждении муниципальной программы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ind w:right="-2"/>
              <w:jc w:val="center"/>
              <w:tabs>
                <w:tab w:val="left" w:pos="4962" w:leader="none"/>
              </w:tabs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«Обеспечение безопасности жизнедеятельности населения</w:t>
            </w:r>
            <w:r>
              <w:rPr>
                <w:rFonts w:ascii="Tinos" w:hAnsi="Tinos" w:cs="Tinos"/>
                <w:b/>
                <w:bCs/>
                <w:i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Белгородского района»</w:t>
            </w:r>
            <w:r/>
            <w:r/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п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одготовлен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комитетом по обеспечению безопасности администрации Белгородского района</w:t>
            </w:r>
            <w:bookmarkStart w:id="0" w:name="_GoBack"/>
            <w:r>
              <w:rPr>
                <w:highlight w:val="white"/>
              </w:rPr>
            </w:r>
            <w:bookmarkEnd w:id="0"/>
            <w:r>
              <w:rPr>
                <w:highlight w:val="white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. Обоснование необходимости принятия нормативного правового акта (основания, концепция, цели, задачи, последствия принятия):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ascii="Tinos" w:hAnsi="Tinos" w:eastAsia="Calibri" w:cs="Tinos"/>
                <w:color w:val="00000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В целях повышения уровня безопасности жизнедеятельности населения Белгородского района, привести муниципальную программу «Обеспечение безопасности жизнедеятельности населения Белгородского района» в соответствие с 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постановлением администрации Белгородского района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 Белгородской области от 20 августа 2024 года № 116 «Об утверждении Положения о системе уп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равления муниципальными программами Белгородского района», руководствуясь постановлением администрации Белгородского района Белгородской области от 26 августа 2024 года № 118 «Об утверждении Перечня м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униципальных программ Белгородского района» и распоряжением администрации Белгородского района Белгородской области от 22 августа 2024 года «Об утверждении Методических рекомендаций по разработке и реализации муниципальных программ Белгородского района, 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Федеральным законом от 28 июня 2014 г. №172-ФЗ </w:t>
            </w:r>
            <w:r>
              <w:rPr>
                <w:rFonts w:ascii="Tinos" w:hAnsi="Tinos" w:eastAsia="Times New Roman" w:cs="Tinos"/>
                <w:sz w:val="24"/>
                <w:szCs w:val="24"/>
                <w:lang w:eastAsia="ru-RU"/>
              </w:rPr>
              <w:t xml:space="preserve">«О стратегическом планировании </w:t>
              <w:br/>
              <w:t xml:space="preserve">в Российской Федерации», бюджетным кодексом Российской Федерации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  <w:br/>
              <w:t xml:space="preserve"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rPr>
                <w:rFonts w:ascii="Tinos" w:hAnsi="Tinos" w:cs="Tinos"/>
                <w:sz w:val="24"/>
                <w:szCs w:val="24"/>
              </w:rPr>
            </w:pPr>
            <w:r>
              <w:t xml:space="preserve">      </w:t>
            </w:r>
            <w:r>
              <w:rPr>
                <w:rFonts w:ascii="Tinos" w:hAnsi="Tinos" w:cs="Tinos"/>
                <w:sz w:val="24"/>
                <w:szCs w:val="24"/>
              </w:rPr>
              <w:t xml:space="preserve"> Не окажет</w:t>
            </w:r>
            <w:r>
              <w:rPr>
                <w:rFonts w:ascii="Tinos" w:hAnsi="Tinos" w:cs="Tinos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проекта муници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eastAsia="Calibri" w:cs="Times New Roman"/>
                <w:b/>
                <w:i/>
                <w:color w:val="000000"/>
                <w:sz w:val="24"/>
                <w:szCs w:val="24"/>
              </w:rPr>
              <w:t xml:space="preserve">ального нормативного правового акта, которые могут привести к недопущению, ограничению или устранению конкуренции </w:t>
              <w:br/>
              <w:t xml:space="preserve">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>
              <w:rPr>
                <w:b/>
                <w:i/>
              </w:rPr>
              <w:t xml:space="preserve"> 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Проект не содержит положений, которые могут привести к недопущению, ограничению </w:t>
              <w:br/>
              <w:t xml:space="preserve">или устранению конкуренции на рынках товаров, работ и услуг муниципального района «Белгородский район» Белгородской области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31</cp:revision>
  <dcterms:created xsi:type="dcterms:W3CDTF">2019-08-20T14:10:00Z</dcterms:created>
  <dcterms:modified xsi:type="dcterms:W3CDTF">2024-10-01T09:11:17Z</dcterms:modified>
</cp:coreProperties>
</file>