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Уведомление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проведении публичных консультаций посредством сбора замечаний и предложений организаций и граждан в рамках анализа проекта </w:t>
      </w:r>
      <w:r/>
    </w:p>
    <w:p>
      <w:pPr>
        <w:ind w:left="-142" w:right="-142"/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муниципального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нормативного правового акта на предмет его влияния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                                    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на конкуренцию </w:t>
      </w:r>
      <w:r/>
    </w:p>
    <w:p>
      <w:pPr>
        <w:jc w:val="center"/>
        <w:spacing w:line="233" w:lineRule="auto"/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highlight w:val="white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Комитет по обеспечению безопасности администрации Белгородского района</w:t>
            </w:r>
            <w:r>
              <w:rPr>
                <w:highlight w:val="white"/>
              </w:rPr>
            </w:r>
            <w:r/>
          </w:p>
          <w:p>
            <w:pPr>
              <w:jc w:val="center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уведомляет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о проведении публичных консультаций посредством сбора замечаний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и пр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едложений организаций и граждан</w:t>
            </w:r>
            <w:r/>
          </w:p>
          <w:p>
            <w:pPr>
              <w:pStyle w:val="815"/>
              <w:jc w:val="center"/>
              <w:spacing w:after="0" w:afterAutospacing="0" w:line="240" w:lineRule="auto"/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по</w:t>
            </w:r>
            <w:r/>
            <w:r>
              <w:rPr>
                <w:rFonts w:ascii="Tinos" w:hAnsi="Tinos" w:eastAsia="Calibri" w:cs="Tinos"/>
                <w:b/>
                <w:bCs/>
                <w:i/>
                <w:iCs/>
                <w:sz w:val="24"/>
                <w:szCs w:val="24"/>
                <w:highlight w:val="none"/>
                <w:lang w:eastAsia="ru-RU"/>
              </w:rPr>
              <w:t xml:space="preserve"> </w:t>
            </w:r>
            <w:r>
              <w:rPr>
                <w:rFonts w:ascii="Tinos" w:hAnsi="Tinos" w:eastAsia="Calibri" w:cs="Tinos"/>
                <w:b/>
                <w:bCs/>
                <w:i/>
                <w:iCs/>
                <w:sz w:val="24"/>
                <w:szCs w:val="24"/>
                <w:highlight w:val="none"/>
                <w:lang w:eastAsia="ru-RU"/>
              </w:rPr>
              <w:t xml:space="preserve">п</w:t>
            </w:r>
            <w:r>
              <w:rPr>
                <w:rFonts w:ascii="Tinos" w:hAnsi="Tinos" w:eastAsia="Calibri" w:cs="Tinos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роект</w:t>
            </w:r>
            <w:r>
              <w:rPr>
                <w:rFonts w:ascii="Tinos" w:hAnsi="Tinos" w:eastAsia="Calibri" w:cs="Tinos"/>
                <w:b/>
                <w:bCs/>
                <w:i/>
                <w:iCs/>
                <w:sz w:val="24"/>
                <w:szCs w:val="24"/>
                <w:highlight w:val="none"/>
                <w:lang w:eastAsia="ru-RU"/>
              </w:rPr>
              <w:t xml:space="preserve">у </w:t>
            </w:r>
            <w:r>
              <w:rPr>
                <w:rFonts w:ascii="Tinos" w:hAnsi="Tinos" w:eastAsia="Tinos" w:cs="Tinos"/>
                <w:b/>
                <w:bCs/>
                <w:i/>
                <w:iCs/>
                <w:sz w:val="24"/>
                <w:szCs w:val="24"/>
              </w:rPr>
              <w:t xml:space="preserve">постановления администрации Белгородского района Белгородской области</w:t>
            </w:r>
            <w:r>
              <w:rPr>
                <w:rFonts w:ascii="Tinos" w:hAnsi="Tinos" w:cs="Tinos"/>
                <w:b/>
                <w:bCs/>
                <w:i/>
                <w:sz w:val="24"/>
                <w:szCs w:val="24"/>
              </w:rPr>
            </w:r>
            <w:r/>
          </w:p>
          <w:p>
            <w:pPr>
              <w:ind w:right="-2"/>
              <w:jc w:val="center"/>
              <w:tabs>
                <w:tab w:val="left" w:pos="4962" w:leader="none"/>
              </w:tabs>
            </w:pPr>
            <w:r>
              <w:rPr>
                <w:rFonts w:ascii="Tinos" w:hAnsi="Tinos" w:eastAsia="Times New Roman" w:cs="Tinos"/>
                <w:b/>
                <w:i/>
                <w:iCs/>
                <w:sz w:val="24"/>
                <w:szCs w:val="24"/>
                <w:lang w:eastAsia="ru-RU"/>
              </w:rPr>
              <w:t xml:space="preserve">Об утверждении муниципальной программы</w:t>
            </w:r>
            <w:r>
              <w:rPr>
                <w:bCs/>
                <w:i/>
                <w:sz w:val="24"/>
                <w:szCs w:val="24"/>
              </w:rPr>
            </w:r>
            <w:r/>
          </w:p>
          <w:p>
            <w:pPr>
              <w:ind w:right="-2"/>
              <w:jc w:val="center"/>
              <w:tabs>
                <w:tab w:val="left" w:pos="4962" w:leader="none"/>
              </w:tabs>
            </w:pPr>
            <w:r>
              <w:rPr>
                <w:rFonts w:ascii="Tinos" w:hAnsi="Tinos" w:cs="Tinos"/>
                <w:b/>
                <w:i/>
                <w:iCs/>
                <w:sz w:val="24"/>
                <w:szCs w:val="24"/>
              </w:rPr>
              <w:t xml:space="preserve">«Обеспечение безопасности жизнедеятельности населения</w:t>
            </w:r>
            <w:r>
              <w:rPr>
                <w:bCs/>
                <w:i/>
                <w:sz w:val="24"/>
                <w:szCs w:val="24"/>
              </w:rPr>
            </w:r>
            <w:r/>
          </w:p>
          <w:p>
            <w:pPr>
              <w:jc w:val="center"/>
              <w:spacing w:after="0" w:afterAutospacing="0" w:line="240" w:lineRule="auto"/>
            </w:pPr>
            <w:r>
              <w:rPr>
                <w:rFonts w:ascii="Tinos" w:hAnsi="Tinos" w:cs="Tinos"/>
                <w:b/>
                <w:i/>
                <w:iCs/>
                <w:sz w:val="24"/>
                <w:szCs w:val="24"/>
              </w:rPr>
              <w:t xml:space="preserve">Белгородского района»</w:t>
            </w:r>
            <w:r/>
            <w:r/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highlight w:val="white"/>
                <w:lang w:eastAsia="ru-RU"/>
              </w:rPr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на</w:t>
            </w:r>
            <w:r>
              <w:rPr>
                <w:rFonts w:ascii="Times New Roman" w:hAnsi="Times New Roman" w:eastAsia="Calibri" w:cs="Times New Roman"/>
                <w:b/>
                <w:bCs/>
                <w:i/>
                <w:sz w:val="24"/>
                <w:szCs w:val="24"/>
                <w:lang w:eastAsia="ru-RU"/>
              </w:rPr>
              <w:t xml:space="preserve"> предмет его влияния на конкуренцию</w:t>
            </w:r>
            <w:r/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bCs/>
                <w:sz w:val="26"/>
                <w:szCs w:val="26"/>
                <w:lang w:eastAsia="ru-RU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Замечания и предложения принимаются по адресу: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. 4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07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, Белгород, 308007, а также по адресу электронной почты: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Galkina101975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@yandex.ru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1.10.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2024 г. по 14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.10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.2024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highlight w:val="yellow"/>
                <w:lang w:eastAsia="ru-RU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С учетом анали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23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24</w:t>
            </w:r>
            <w:bookmarkStart w:id="0" w:name="_GoBack"/>
            <w:r/>
            <w:bookmarkEnd w:id="0"/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г. в составе ежегодного доклада об антимонопольном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комплаенсе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будет размещен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          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 официальном сайте муниципального района «Белгородский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район» Белгородской области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 уведомлению прилагаются: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                   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val="en-US" w:eastAsia="ru-RU"/>
              </w:rPr>
              <w:t xml:space="preserve">word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.</w:t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муниципального района «Белгородский район» Белгородской области в разделе «Антимонопольный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комплаенс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»: </w:t>
            </w: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https://belgorodskij-r31.gosweb.gosuslugi.ru/glavnoe/organy-vlasti/administratsiya-belgorodskogo-rayona/antimonopolnyy-komplaens/publichnye2/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Контактное лицо: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Галкина Диана Владимировна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, главный специалист отдела </w:t>
              <w:br/>
              <w:t xml:space="preserve">по взаимодействию с правоохранительными органами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 комитета по обеспечению безопасности администрации Белгородского района,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(4722) 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26-77-</w:t>
            </w: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highlight w:val="white"/>
                <w:lang w:eastAsia="ru-RU"/>
              </w:rPr>
              <w:t xml:space="preserve">79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6"/>
                <w:szCs w:val="26"/>
                <w:lang w:eastAsia="ru-RU"/>
              </w:rPr>
            </w:r>
            <w:r/>
          </w:p>
          <w:p>
            <w:pPr>
              <w:jc w:val="both"/>
              <w:spacing w:line="233" w:lineRule="auto"/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6"/>
                <w:szCs w:val="26"/>
                <w:lang w:eastAsia="ru-RU"/>
              </w:rPr>
              <w:t xml:space="preserve">Режим работы: с 9-00 до 18-00, перерыв с 13-00 до 14-00</w:t>
            </w:r>
            <w:r/>
          </w:p>
        </w:tc>
      </w:tr>
    </w:tbl>
    <w:p>
      <w:pPr>
        <w:ind w:firstLine="5387"/>
        <w:jc w:val="center"/>
        <w:tabs>
          <w:tab w:val="left" w:pos="2940" w:leader="none"/>
        </w:tabs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27</cp:revision>
  <dcterms:created xsi:type="dcterms:W3CDTF">2019-08-20T14:10:00Z</dcterms:created>
  <dcterms:modified xsi:type="dcterms:W3CDTF">2024-10-01T09:14:13Z</dcterms:modified>
</cp:coreProperties>
</file>