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5186"/>
        <w:gridCol w:w="1362"/>
        <w:gridCol w:w="788"/>
        <w:gridCol w:w="788"/>
        <w:gridCol w:w="788"/>
        <w:gridCol w:w="458"/>
        <w:gridCol w:w="330"/>
        <w:gridCol w:w="788"/>
        <w:gridCol w:w="788"/>
        <w:gridCol w:w="3396"/>
        <w:gridCol w:w="57"/>
      </w:tblGrid>
      <w:tr w:rsidR="00F541BA">
        <w:trPr>
          <w:trHeight w:hRule="exact" w:val="115"/>
        </w:trPr>
        <w:tc>
          <w:tcPr>
            <w:tcW w:w="15632" w:type="dxa"/>
            <w:gridSpan w:val="12"/>
          </w:tcPr>
          <w:p w:rsidR="00F541BA" w:rsidRDefault="00F541BA"/>
        </w:tc>
      </w:tr>
      <w:tr w:rsidR="00F541BA">
        <w:trPr>
          <w:trHeight w:hRule="exact" w:val="558"/>
        </w:trPr>
        <w:tc>
          <w:tcPr>
            <w:tcW w:w="15575" w:type="dxa"/>
            <w:gridSpan w:val="11"/>
            <w:shd w:val="clear" w:color="auto" w:fill="FFFFFF"/>
          </w:tcPr>
          <w:p w:rsidR="00F541BA" w:rsidRDefault="00AC114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ТИПОВАЯ ФОРМА ДОКЛАДА</w:t>
            </w:r>
          </w:p>
        </w:tc>
        <w:tc>
          <w:tcPr>
            <w:tcW w:w="57" w:type="dxa"/>
          </w:tcPr>
          <w:p w:rsidR="00F541BA" w:rsidRDefault="00F541BA"/>
        </w:tc>
      </w:tr>
      <w:tr w:rsidR="00F541BA">
        <w:trPr>
          <w:trHeight w:hRule="exact" w:val="344"/>
        </w:trPr>
        <w:tc>
          <w:tcPr>
            <w:tcW w:w="15575" w:type="dxa"/>
            <w:gridSpan w:val="11"/>
            <w:shd w:val="clear" w:color="auto" w:fill="FFFFFF"/>
            <w:vAlign w:val="bottom"/>
          </w:tcPr>
          <w:p w:rsidR="00F541BA" w:rsidRDefault="00AC114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Глава администрации муниципального района "Белгородский район" Белгородской области  Перцев Владимир Николаевич</w:t>
            </w:r>
          </w:p>
        </w:tc>
        <w:tc>
          <w:tcPr>
            <w:tcW w:w="57" w:type="dxa"/>
          </w:tcPr>
          <w:p w:rsidR="00F541BA" w:rsidRDefault="00F541BA"/>
        </w:tc>
      </w:tr>
      <w:tr w:rsidR="00F541BA">
        <w:trPr>
          <w:trHeight w:hRule="exact" w:val="330"/>
        </w:trPr>
        <w:tc>
          <w:tcPr>
            <w:tcW w:w="15575" w:type="dxa"/>
            <w:gridSpan w:val="11"/>
            <w:shd w:val="clear" w:color="auto" w:fill="FFFFFF"/>
          </w:tcPr>
          <w:p w:rsidR="00F541BA" w:rsidRDefault="00AC114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u w:val="single"/>
              </w:rPr>
              <w:t>(Ф.И.О. главы местной администрации городского округа (муниципального района))</w:t>
            </w:r>
          </w:p>
        </w:tc>
        <w:tc>
          <w:tcPr>
            <w:tcW w:w="57" w:type="dxa"/>
          </w:tcPr>
          <w:p w:rsidR="00F541BA" w:rsidRDefault="00F541BA"/>
        </w:tc>
      </w:tr>
      <w:tr w:rsidR="00F541BA">
        <w:trPr>
          <w:trHeight w:hRule="exact" w:val="458"/>
        </w:trPr>
        <w:tc>
          <w:tcPr>
            <w:tcW w:w="15575" w:type="dxa"/>
            <w:gridSpan w:val="11"/>
            <w:shd w:val="clear" w:color="auto" w:fill="FFFFFF"/>
            <w:vAlign w:val="bottom"/>
          </w:tcPr>
          <w:p w:rsidR="00F541BA" w:rsidRDefault="00AC114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Белгородский район</w:t>
            </w:r>
          </w:p>
        </w:tc>
        <w:tc>
          <w:tcPr>
            <w:tcW w:w="57" w:type="dxa"/>
          </w:tcPr>
          <w:p w:rsidR="00F541BA" w:rsidRDefault="00F541BA"/>
        </w:tc>
      </w:tr>
      <w:tr w:rsidR="00F541BA">
        <w:trPr>
          <w:trHeight w:hRule="exact" w:val="344"/>
        </w:trPr>
        <w:tc>
          <w:tcPr>
            <w:tcW w:w="15575" w:type="dxa"/>
            <w:gridSpan w:val="11"/>
            <w:shd w:val="clear" w:color="auto" w:fill="FFFFFF"/>
          </w:tcPr>
          <w:p w:rsidR="00F541BA" w:rsidRDefault="00AC114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u w:val="single"/>
              </w:rPr>
              <w:t>(наименование городского округа (муниципального района))</w:t>
            </w:r>
          </w:p>
        </w:tc>
        <w:tc>
          <w:tcPr>
            <w:tcW w:w="57" w:type="dxa"/>
          </w:tcPr>
          <w:p w:rsidR="00F541BA" w:rsidRDefault="00F541BA"/>
        </w:tc>
      </w:tr>
      <w:tr w:rsidR="00F541BA">
        <w:trPr>
          <w:trHeight w:hRule="exact" w:val="674"/>
        </w:trPr>
        <w:tc>
          <w:tcPr>
            <w:tcW w:w="15575" w:type="dxa"/>
            <w:gridSpan w:val="11"/>
            <w:shd w:val="clear" w:color="auto" w:fill="FFFFFF"/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 достигнутых значениях показателей для оценки эффективности деятельности органов местного самоуправления</w:t>
            </w:r>
          </w:p>
          <w:p w:rsidR="00F541BA" w:rsidRDefault="00AC114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городских округов и муниципальных районов за 2022 год и их планируемых значениях на 3-х ле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тний период</w:t>
            </w:r>
          </w:p>
        </w:tc>
        <w:tc>
          <w:tcPr>
            <w:tcW w:w="57" w:type="dxa"/>
          </w:tcPr>
          <w:p w:rsidR="00F541BA" w:rsidRDefault="00F541BA"/>
        </w:tc>
      </w:tr>
      <w:tr w:rsidR="00F541BA">
        <w:trPr>
          <w:trHeight w:hRule="exact" w:val="329"/>
        </w:trPr>
        <w:tc>
          <w:tcPr>
            <w:tcW w:w="15575" w:type="dxa"/>
            <w:gridSpan w:val="11"/>
            <w:shd w:val="clear" w:color="auto" w:fill="FFFFFF"/>
          </w:tcPr>
          <w:p w:rsidR="00F541BA" w:rsidRDefault="00AC114B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Подпись _____________</w:t>
            </w:r>
          </w:p>
        </w:tc>
        <w:tc>
          <w:tcPr>
            <w:tcW w:w="57" w:type="dxa"/>
          </w:tcPr>
          <w:p w:rsidR="00F541BA" w:rsidRDefault="00F541BA"/>
        </w:tc>
      </w:tr>
      <w:tr w:rsidR="00F541BA">
        <w:trPr>
          <w:trHeight w:hRule="exact" w:val="1705"/>
        </w:trPr>
        <w:tc>
          <w:tcPr>
            <w:tcW w:w="10273" w:type="dxa"/>
            <w:gridSpan w:val="7"/>
          </w:tcPr>
          <w:p w:rsidR="00F541BA" w:rsidRDefault="00F541BA"/>
        </w:tc>
        <w:tc>
          <w:tcPr>
            <w:tcW w:w="5302" w:type="dxa"/>
            <w:gridSpan w:val="4"/>
            <w:shd w:val="clear" w:color="auto" w:fill="FFFFFF"/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16"/>
              </w:rPr>
              <w:t>${STAMP}</w:t>
            </w:r>
          </w:p>
        </w:tc>
        <w:tc>
          <w:tcPr>
            <w:tcW w:w="57" w:type="dxa"/>
          </w:tcPr>
          <w:p w:rsidR="00F541BA" w:rsidRDefault="00F541BA"/>
        </w:tc>
      </w:tr>
      <w:tr w:rsidR="00F541BA">
        <w:trPr>
          <w:trHeight w:hRule="exact" w:val="559"/>
        </w:trPr>
        <w:tc>
          <w:tcPr>
            <w:tcW w:w="15575" w:type="dxa"/>
            <w:gridSpan w:val="11"/>
            <w:shd w:val="clear" w:color="auto" w:fill="FFFFFF"/>
          </w:tcPr>
          <w:p w:rsidR="00F541BA" w:rsidRDefault="00AC114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Показатели эффективности деятельности</w:t>
            </w:r>
          </w:p>
          <w:p w:rsidR="00F541BA" w:rsidRDefault="00AC114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органов местного самоуправления  городского округа (муниципального района)</w:t>
            </w:r>
          </w:p>
        </w:tc>
        <w:tc>
          <w:tcPr>
            <w:tcW w:w="57" w:type="dxa"/>
          </w:tcPr>
          <w:p w:rsidR="00F541BA" w:rsidRDefault="00F541BA"/>
        </w:tc>
      </w:tr>
      <w:tr w:rsidR="00F541BA">
        <w:trPr>
          <w:trHeight w:hRule="exact" w:val="444"/>
        </w:trPr>
        <w:tc>
          <w:tcPr>
            <w:tcW w:w="15575" w:type="dxa"/>
            <w:gridSpan w:val="11"/>
            <w:shd w:val="clear" w:color="auto" w:fill="FFFFFF"/>
            <w:vAlign w:val="bottom"/>
          </w:tcPr>
          <w:p w:rsidR="00F541BA" w:rsidRDefault="00AC114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Муниципальный район "Белгородский район" Белгородской области</w:t>
            </w:r>
          </w:p>
        </w:tc>
        <w:tc>
          <w:tcPr>
            <w:tcW w:w="57" w:type="dxa"/>
          </w:tcPr>
          <w:p w:rsidR="00F541BA" w:rsidRDefault="00F541BA"/>
        </w:tc>
      </w:tr>
      <w:tr w:rsidR="00F541BA">
        <w:trPr>
          <w:trHeight w:hRule="exact" w:val="344"/>
        </w:trPr>
        <w:tc>
          <w:tcPr>
            <w:tcW w:w="15575" w:type="dxa"/>
            <w:gridSpan w:val="11"/>
            <w:shd w:val="clear" w:color="auto" w:fill="FFFFFF"/>
          </w:tcPr>
          <w:p w:rsidR="00F541BA" w:rsidRDefault="00AC114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u w:val="single"/>
              </w:rPr>
              <w:t>(официальное наименование городского округа (муниципального района))</w:t>
            </w:r>
          </w:p>
        </w:tc>
        <w:tc>
          <w:tcPr>
            <w:tcW w:w="57" w:type="dxa"/>
          </w:tcPr>
          <w:p w:rsidR="00F541BA" w:rsidRDefault="00F541BA"/>
        </w:tc>
      </w:tr>
      <w:tr w:rsidR="00F541BA">
        <w:trPr>
          <w:trHeight w:hRule="exact" w:val="115"/>
        </w:trPr>
        <w:tc>
          <w:tcPr>
            <w:tcW w:w="15632" w:type="dxa"/>
            <w:gridSpan w:val="12"/>
          </w:tcPr>
          <w:p w:rsidR="00F541BA" w:rsidRDefault="00F541BA"/>
        </w:tc>
      </w:tr>
      <w:tr w:rsidR="00F541BA">
        <w:trPr>
          <w:trHeight w:hRule="exact" w:val="114"/>
        </w:trPr>
        <w:tc>
          <w:tcPr>
            <w:tcW w:w="15575" w:type="dxa"/>
            <w:gridSpan w:val="11"/>
            <w:tcBorders>
              <w:bottom w:val="single" w:sz="5" w:space="0" w:color="000000"/>
            </w:tcBorders>
          </w:tcPr>
          <w:p w:rsidR="00F541BA" w:rsidRDefault="00F541BA"/>
        </w:tc>
        <w:tc>
          <w:tcPr>
            <w:tcW w:w="57" w:type="dxa"/>
          </w:tcPr>
          <w:p w:rsidR="00F541BA" w:rsidRDefault="00F541BA"/>
        </w:tc>
      </w:tr>
      <w:tr w:rsidR="00F541BA">
        <w:trPr>
          <w:trHeight w:hRule="exact" w:val="330"/>
        </w:trPr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" w:type="dxa"/>
              <w:right w:w="1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5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" w:type="dxa"/>
              <w:right w:w="1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Показатель</w:t>
            </w:r>
          </w:p>
        </w:tc>
        <w:tc>
          <w:tcPr>
            <w:tcW w:w="1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" w:type="dxa"/>
              <w:right w:w="1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Единица измерения</w:t>
            </w:r>
          </w:p>
        </w:tc>
        <w:tc>
          <w:tcPr>
            <w:tcW w:w="47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" w:type="dxa"/>
              <w:right w:w="1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Отчетная информация</w:t>
            </w:r>
          </w:p>
        </w:tc>
        <w:tc>
          <w:tcPr>
            <w:tcW w:w="3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" w:type="dxa"/>
              <w:right w:w="1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Примечание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344"/>
        </w:trPr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5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13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2020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2021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2022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33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458"/>
        </w:trPr>
        <w:tc>
          <w:tcPr>
            <w:tcW w:w="155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Экономическое развитие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118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Число субъектов малого и среднего предпринимательства в расчете на 10 тыс. человек населения 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486.30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486.3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417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417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417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417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Снижение данного показателя, по сравнению с целевым, обусловлено увеличением численности населения Белгородского района по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ультатам Всероссийской переписи населения 2020 более чем на 59 тыс. человек.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619"/>
        </w:trPr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 </w:t>
            </w:r>
          </w:p>
        </w:tc>
        <w:tc>
          <w:tcPr>
            <w:tcW w:w="1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30.20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30.2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34.6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34.6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34.6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34.6</w:t>
            </w:r>
          </w:p>
        </w:tc>
        <w:tc>
          <w:tcPr>
            <w:tcW w:w="3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Значение по данному показателю достигнуто за счет создания благоприятных условий для развития малого и среднего предпринимательства Белгородского района, а именно предоставления финансовой, консультативной, имущественной поддержки хозяйствующим субъектам,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осуществляющим деятельность на территории Белгородского района. Развитие и поддержка малого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среднего бизнеса Белгородского района в 2022 году осуществлялась в тесном взаимодействии с Микрокредитной компанией Белгородский областной фонд поддержки малого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среднего предпринимательства, Белгородским гарантийным фондом содействия кредитованию и центром услуг "Мой бизнес". Рост показателя по сравнению с 2021 годом составил 4,4 %.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619"/>
        </w:trPr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5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13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33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2522"/>
        </w:trPr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3</w:t>
            </w:r>
          </w:p>
        </w:tc>
        <w:tc>
          <w:tcPr>
            <w:tcW w:w="5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Объем инвестиций в основной капитал (за исключением бюджетных средств) в расчете на 1 жителя </w:t>
            </w:r>
          </w:p>
        </w:tc>
        <w:tc>
          <w:tcPr>
            <w:tcW w:w="1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руб.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19491.5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20528.0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15904.01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14467.77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14727.77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14977.03</w:t>
            </w:r>
          </w:p>
        </w:tc>
        <w:tc>
          <w:tcPr>
            <w:tcW w:w="3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Увеличение данного показателя в 2022 году по сравнению с целевым значением в размере 14217,77 рублей 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зошло за счет дальнейшей реализации на территории Белгородского района крупных инвестиционных проектов, в первую очередь, резидентами промышленных парков и сельскохозяйственными товаропроизводителями, а также проектов в сфере обрабатывающих производств,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еди которых: ООО "Техногрупп Белгород" (строительство завода по изготовлению вентиляционного оборудования); ООО "Био Полимер" (производство влажных салфеток, строительство производственного корпуса); АО "Рус-Индустрия" (производство средств индивидуальной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защиты, увеличение объемов производства);  ООО "Бел Органика" (производство гранулированных удобрений, реконструкция), ООО "СтеклоДизайн" (обработка стекла и зеркал, модернизация промышленной линии). Плановые показатели сформированы с учетом планируемых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территории Белгородского района проектов в сфере обрабатывающих производств и агропромышленного комплекса, а также увеличения среднесписочной численности населения.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2507"/>
        </w:trPr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5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13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33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200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площади земельных участков, являющихся объектами налогообложения земельным налогом, от общей площади территории городского округа (муниципального района)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"Значение данного показателя было достигнуто в 2016 году, он является исчерпывающим и неизменным.  В соответствии с Земельным кодексом РФ земельные участки могут находится в собственности субъектов РФ, муниципальной, частной, а также государственной неразг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раниченной собственности. Таким образом,  вся территория относится к какому-либо виду собственности и является объектом налогообложения."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2192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5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прибыльных сельскохозяйственных организаций в общем их числе 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72.22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87.5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94.12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94.12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94.12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94.12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Белгородском районе из 17 предприятий прибыльными являются 16. По результатам отчетного года из убыточных в  прибыльные перешли ООО "Тепличный комплекс Белогорья" и ООО "СХП Теплицы Белогорья". В связи с санкционными ограничениями убыток получен в ООО "Я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ровит Агро". Согласно информации министерства сельского хозяйства и продовольствия области отчетность  АО "МК Зеленая Долина" сдается по Яковлевскому городскому округу.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931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 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20.35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19.34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18.75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19.4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16.6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16.6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Целевое значение показателя достигнуто. На 2023 год запланирован ремонт 33 участков дорог местного значения.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94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айона) 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Население не имеющее регулярного автобусного и (или) железнодорожного сообщения с административным центром отсутствует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648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Среднемесячная номинальная начисленная заработная плата работников: 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достигнуто за счет выполнения Указа Президента Российской Федерации от 7 мая 2012 года № 597 "О мероприятиях по реализации государственной социальной политики", цель которого доведение средней заработной платы учителей общеобразовательн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ых организаций до средней заработной платы в регионе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2722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8.1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крупных и средних предприятий и некоммерческих организаций 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руб.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35766.4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40080.10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45702.4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45752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48497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51407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данным Белгородстата среднемесячная номинальная начисленная заработная плата по организациям Белгородского района, не относящимся к субъектам малого предпринимательства, за 2022 год составила 45702 рубля, что превышает значение целевого показателя на 26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00 рублей. Значение данного показателя достигнуто благодаря постоянному проведению с работодателями Белгородского района разъяснительной работы об обязанностях проводить ежегодную индексацию заработной платы в соответствии с ТК РФ и внесению пунктов о 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шении заработной платы в коллективные договоры организаций.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47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8.2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муниципальных дошкольных образовательных организаций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руб.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25640.50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29128.5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34094.9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33958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33972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34042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Повышение МРОТ с 1 января 2022 г. до 13 890 рублей в месяц (Федеральный закон от 6 декабря 2021 г. № 406-ФЗ "О внесении изменений в статью 1 Федерального закона "О минимальном размере оплаты труда"), с 01 июня 2022 г. до 15 279 рублей в месяц (Постановлени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е Правительства РФ от 28 мая 2022 г. № 973).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47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8.3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муниципальных общеобразовательных организаций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руб.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35284.9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39607.6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43606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43519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43592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43698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Повышение МРОТ с 1 января 2022 г. до 13 890 рублей в месяц (Федеральный закон от 6 декабря 2021 г. № 406-ФЗ "О внесении изменений в статью 1 Федерального закона "О минимальном размере оплаты труда"), с 01 июня 2022 г. до 15 279 рублей в месяц (Постановлени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 Правительства РФ от 28 мая 2022 г. № 973).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461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8.4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учителей муниципальных общеобразовательных организаций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руб.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43201.50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49250.00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51220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51830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52612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53401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Повышение МРОТ с 1 января 2022 г. до 13 890 рублей в месяц (Федеральный закон от 6 декабря 2021 г. № 406-ФЗ "О внесении изменений в статью 1 Федерального закона "О минимальном размере оплаты труда"), с 01 июня 2022 г. до 15 279 рублей в месяц (Постановлени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 Правительства РФ от 28 мая 2022 г. № 973).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47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8.5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муниципальных организаций культуры и искусства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руб.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33825.1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36783.6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40285.0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39900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42900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45700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Повышение МРОТ с 1 января 2022 г. до 13 890 рублей в месяц (Федеральный закон от 6 декабря 2021 г. № 406-ФЗ "О внесении изменений в статью 1 Федерального закона "О минимальном размере оплаты труда"), с 01 июня 2022 г. до 15 279 рублей в месяц (Постановлени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 Правительства РФ от 28 мая 2022 г. № 973).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47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8.6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муниципальных организаций физической культуры и спорта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руб.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26982.4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32960.7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32851.5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30059.6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34013.7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245AF4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34013.7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Повышение МРОТ с 1 января 2022 г. до 13 890 рублей в месяц (Федеральный закон от 6 декабря 2021 г. № 406-ФЗ "О внесении изменений в статью 1 Федерального закона "О минимальном размере оплаты труда"), с 01 июня 2022 г. до 15 279 рублей в месяц (Постановлени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 Правительства РФ от 28 мая 2022 г. № 973).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444"/>
        </w:trPr>
        <w:tc>
          <w:tcPr>
            <w:tcW w:w="155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Дошкольное образование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774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1-6 лет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81.49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84.3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83.47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78.9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80.7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80.3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тигнуто за счет создания в образовательных организациях вариативных форм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759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детей в возрасте от одного года до шести лет, состоящих на учете для определения в муниципальные дошкольные образовательные организации, в общей численности детей в возрасте от одного года до шести лет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достигнуто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счет строительства ДОО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94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3.4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6.9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6.7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3.3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Дошкольные образовательные организации, здания которых находятся в аварийном состоянии или требуют капитальный ремонт на территории Белгородского района отсутствуют.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444"/>
        </w:trPr>
        <w:tc>
          <w:tcPr>
            <w:tcW w:w="155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Общее и дополнительное образование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945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2.08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Выпускники муниципальных общеобразовател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ьных организаций, не получивших аттестат о среднем (полном) образовании отсутствуют.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634"/>
        </w:trPr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13</w:t>
            </w:r>
          </w:p>
        </w:tc>
        <w:tc>
          <w:tcPr>
            <w:tcW w:w="5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учреждений:</w:t>
            </w:r>
          </w:p>
        </w:tc>
        <w:tc>
          <w:tcPr>
            <w:tcW w:w="1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93.57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93.58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93.75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93.90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94.05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94.18</w:t>
            </w:r>
          </w:p>
        </w:tc>
        <w:tc>
          <w:tcPr>
            <w:tcW w:w="3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2022 году проведен капитальный ремонт МОУ "Краснохуторская ООШ", введена в эксплуатацию МОУ "Тавровская СОШ" Формула Успеха на 1100 мест в мкр. Таврово-4, выполнен текущий ремонт школ в рамках подготовки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ных организаций к новому учебному году. Помещения оформлены и зонированы в соответствии с единым фирменным брендбуком, закуплено новое современное оборудование, внесены изменения в рабочие программы учебных предметов "Технология", "Информатика", "Основы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зопасности жизнедеятельности", разработаны новые дополнительные общеразвивающие программы. Организовано сетевое взаимодействие между близлежащими школами и существующими центрами.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619"/>
        </w:trPr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5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13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33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103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организаций: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2.86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2.7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15.79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12.20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9.76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6.82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МОУ "Хохловская СОШ",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 "Новосадовская СОШ", МОУ "Никольская СОШ", МОУ "Тавроская СОШ", МОУ "Мясоедовская СОШ", МОУ "Дубовская СОШ с УИОП" требуют капитальный ремонт зданий.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834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81.01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81.46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83.86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84.00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84.2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84.2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Перечень, объем исследований  при проведении профилактических осмотров осуществлялись на основани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 приказа № 514Н от 10 августа 2017 г. N 514н «О Порядке проведения профилактических осмотров  несовершеннолетних». Осмотр детского населения осуществлялся по выездному принципу бригадой врачей- специалистов ОГБУЗ «Белгородская ЦРБ».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94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5.96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11.11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10.29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5.41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2.36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ниже целевого на 0,81 % в связи с вводом в эксплуатацию в отчетном году новых школ на территории Белгородского района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2178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Расходы бюджета муниципального образования на общее образование в расчете на 1 обучающегося в муниципальных общео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бразовательных организациях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тыс.руб.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20.29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30.99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26.88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29.9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29.9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29.9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соответствует данным бюджета муниципального района "Белгородский район" Белгородской области на 2021 год и плановый период 2022 и 2023 годы по отрасли "Образование", утвержденного решением Муниципального Совета Белгородского района от 25.12.2020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года № 318 "О бюджете муниципального района "Белгородский район" Белгородской области на 2021 год и плановый период 2022 и 2023 годов", с учетом вносимых изменений в течение года.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117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детей в возрасте 5 - 18 лет, получающих услуги по дополнительному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94.1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97.01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94.11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87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Создание условий для доступности услуг дополнительного образования, проведение мониторинга потребности детей в услугах позволяет поддерживать показатель на высоком уровне.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459"/>
        </w:trPr>
        <w:tc>
          <w:tcPr>
            <w:tcW w:w="155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Культура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587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Уровень фактической обеспеченности организациями культуры от нормативной потребности: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648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19.1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клубами и организациями клубного типа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97.83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97.8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97.8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97.8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достигнут за счет выполнения нормативов,  согласно методическим рекомендациям № 401-пп от 13.11.2017 г. Постановление Правительства Белгородской области "Об утверждении методических рекомендаций по развитию сети организаций культуры и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ю населения Белгородской области организациями культуры".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648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19.2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библиотеками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100.0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100.0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100.0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достигнут за счет выполнения нормативов,  согласно методическим рекомендациям № 401-пп от 13.11.2017 г. Постановление Правительства Белгородской области "Об утверждении методических рекомендаций по развитию сети организаций. Соответствует утверж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денным нормативам единиц.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662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19.3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парками культуры и отдыха 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достигнут за счет выполнения нормативов,  согласно методическим рекомендациям № 401-пп от 13.11.2017 г. Постановление Правительства Белгородской области "Об утверждении методических рекомендаций по развитию сети организаций. Соответствует утверж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денным нормативам единиц.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117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муниципальных организаций культуры, здания которых находятся в аварийном состоянии или требуют капитального ремонта, в общем количестве муниципальных организаций культуры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6.25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6.12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6.38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6.25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настоящий момент, на территории Белгородского района приостановлена работа в 3 учреждениях муниципальных организаций культуры. Ожидается финансирования для начала ремонтных работ.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932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3.28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3.23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19.35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19.35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3.23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3.23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В 2023 году будет осуществлен ремонт 10 объектов памятников. Средства  на данное направление уже поступили.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458"/>
        </w:trPr>
        <w:tc>
          <w:tcPr>
            <w:tcW w:w="155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Физическая культура и спорт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648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населения, систематически занимающегося физической культурой и спортом 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49.9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54.65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56.57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58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59.5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60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достигнут за счет организации и проведения физкультурно-массовых и спортивных мероприятий, внедрение Всероссийского физкультурно-спортивного комплекса «Готов к труду и обороне» (ГТО), развитие инфраструктуры физической культуры и спорта, строите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льство новых спортивных объектов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945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23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достигнут за счет реализации мероприятий Комплекса ГТО и создания дополнительных спортивных направлений в рамках внеурочной деятельности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445"/>
        </w:trPr>
        <w:tc>
          <w:tcPr>
            <w:tcW w:w="155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Жилищное строительство и обеспечение граждан жильем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773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24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Общая площадь жилых помещений, приходящаяся в среднем на одного жителя, всего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кв.метров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62.01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65.17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47.89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66.44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63.48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63.48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достигнуто за счет строительства индивидуального жилья частными инвесторами.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760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24.1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в том числе введенная в действие за один год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кв.метров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2.82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3.11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1.5354773594625566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2.99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2.99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2.99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достигнуто за счет строительства индивидуального жилья частными инвесторами.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461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25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га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22.35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21.98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15.38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15.31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15.25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15.03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Площадь предоставленных земельных участков для строительства, в том числе для жилищного, в 2022 году превысила целевые значения. При этом целевое значение показателя по сравнению с 2021 годом значительно уменьшилось в связи с ростом численности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более чем на 30 %.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47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25.1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в том числе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га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22.18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21.68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14.69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14.25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14.02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13.87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Площадь предоставленных земельных участков для строительства, в том числе для жилищного, в 2022 году превысила целевые значения. При этом целевое значение показателя по сравнению с 2021 годом значительно уменьшилось в связи с ростом численности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более чем на 30 %.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47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26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решение на ввод в эксплуатацию: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Земельные участки, предоставленные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сутствуют 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47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26.1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объектов жилищного строительства - в течение 3 лет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кв.метров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Земельные участки, предоставленные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сутствуют 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461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26.2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иных объектов капитального строительства - в течение 5 лет 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кв.метров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Земельные участки, предоставленные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сутствуют 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458"/>
        </w:trPr>
        <w:tc>
          <w:tcPr>
            <w:tcW w:w="155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Жилищно-коммунальное хозяйство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304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27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 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Управление осуществляется на основании Жилищного кодекса РФ. Собственниками помещений всех МКД выбран один из способов управления многоквартирными домами: управляющая организация; непосредственный способ управления; ТСЖ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200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28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й инфраструктуры на праве частной собственности, по договору аренды или концессии, участие Белгородской области и (или) городского округа (муниципального района) в уставном капитале которых составляет не более 25 процентов, в общем числе организаций коммун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Управление осуществляется на основании Жилищного кодекса РФ, значение показателя удалось достигнуть в связи с обеспечением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благоприятных и безопасных условий проживания граждан, надлежащего состояния жилого фонда, бесперебойного предоставления услуг.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932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29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 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Согласно действующему законодательству Российской Федерации земельные участки под многоквартирными домами поставлены на кадастровый учет.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117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населения, получившего жилые помещения и улучшившего жилищные условия в отчетном году, в общей численности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аселения, состоящего на учете в качестве нуждающегося в жилых помещениях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7.38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6.55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7.71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5.5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достигнут благодаря успешной реализации муниицпальной программы "Обеспечение доступным и комфортным жильем и коммунальными услугами жителей Белгородского района".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459"/>
        </w:trPr>
        <w:tc>
          <w:tcPr>
            <w:tcW w:w="155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Организация муниципального управления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117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33.6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40.49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38.02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44.8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45.69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52.86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налоговых и неналоговых доходов за отчетный год к первоначальному плану уменьшилась на 1,5 процента в связи с увеличением безвозмездных поступлений в бюджет.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94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Организации муниципальной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ормы собственности находящиеся в процедуре банкротства отсутствуют.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2235"/>
        </w:trPr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33</w:t>
            </w:r>
          </w:p>
        </w:tc>
        <w:tc>
          <w:tcPr>
            <w:tcW w:w="5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тыс.руб.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3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целях эффективного использования капитальных вложений утверждены Положение о порядке учета объектов незавершенного строительства Белгородского района, при строительстве которых были использованы средства бюджетов всех уровней бюджетной системы РФ, состоя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щих в казне муниципального района "Белгородский район" Белгородской области, а также на балансе муниципальных учреждений и предприятий Белгородского района Белгородской области, Положение о порядке списания затрат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объектам незавершенного строительства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униципального района "Белгородский район" Белгородской области, финансирование которых осуществлялось за счет средств бюджета Белгородского района.  Создана межведомственная рабочая группа по сокращению объемов незавершенного строительства на территории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лгородского района. Объекты, не завершенные строительством в установленные сроки строительства, осуществляемого за счет средств бюджета муниципального района, отсутствуют.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2250"/>
        </w:trPr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5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13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33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541BA" w:rsidRDefault="00F541BA"/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945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34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Кредиторс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кой задолженности по оплате труда муниципальных учреждений не имеется.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94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 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руб.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2318.51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2552.02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1911.3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2174.02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2264.13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2292.12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Расходы на содержание органов местного самоуправления увеличились в связи с проведением организационно-штатных мероприятий.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759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36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 - 1 / нет - 0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Белгородском районе генеральный план (схемы территориального планирования муниципального района) утверждены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834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37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Удовлетворенность населения деятельностью органов местного самоуправления городского округа(муниципального района)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% от числа опрошенных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97.6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95.61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95.18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97.75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98.85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245AF4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98.85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Достижение целевого показателя связано с эффективной работой органов местного самоуправления Белгородского района, подведомственных учреждений, а также районных служб.В частности это повышение открытости и публичности органов власти Белгородского района,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также постоянное информационной взаимодействие с жителями Белгородского района.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118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38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Среднегодовая численность постоянного населения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тыс.чел.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129.58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130.20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190.2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187.6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186.1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185.7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По итогам 2022 года по показателю среднегодовая численность постоянного населения достигнуто значение 190,2 тыс. человек, что на 59 тыс. превышает значение показателя 2021 года.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444"/>
        </w:trPr>
        <w:tc>
          <w:tcPr>
            <w:tcW w:w="155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Энергосбережение и повышение энергетической эффективности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587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39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648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39.1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электрическая энергия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кВт/ч на 1 проживающего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164.17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164.17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164.17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164.17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164.17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164.7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Достижение показателей обусловлено оснащением многоквартирных домов приборами учета потребления ресурсов, реализицией программы энергосбережения и повышения энергоэффективности. Расчет показателей энергетических ресурсов основан на информации, предоставлен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ной ресурсоснабжающими организациями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304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39.2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тепловая энергия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Гкал на 1 кв. метр общей площади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0.03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Достижение показателей энергосбережения и повышения энергоэффективности обусловлено оснащением многоквартирных домов приборами учета потребления ресурсов, реализацией программы энергосбережения и повышения энергоэффективности.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289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39.3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горячая вода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куб.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етров на 1 проживающего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0.51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0.51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0.51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0.51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0.51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0.51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Достижение показателей энергосбережения и повышения энергоэффективности обусловлено оснащением многоквартирных домов приборами учета потребления ресурсов, реализацией программы энергосбережения и повышения энергоэффективности.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304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39.4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холодная вода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куб. метров на 1 проживающего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3.41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3.41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3.41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3.41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3.41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3.41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Достижение показателей энергосбережения и повышения энергоэффективности обусловлено оснащением многоквартирных домов приборами учета потребления ресурсов, реализацией программы энергосбережения и повышения энергоэффективности.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304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39.5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природный газ 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куб. метров на 1 проживающего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88.17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88.17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88.17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88.17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88.17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88.17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Достижение показателей энергосбережения и повышения энергоэффективности обусловлено оснащением многоквартирных домов приборами учета потребления ресурсов, реализацией программы энергосбереже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ния и повышения энергоэффективности.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648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40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Достижение показателей обусловлено оснащением многоквартирных домов приборами учета потребления ресурсов, реализицией программы энергосбережения и повышения энергоэффективности. Расчет показателей энергетических ресурсов основан на информации, предоставлен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ной ресурсоснабжающими организациями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820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40.1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электрическая энергия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кВт/ч на 1 проживающего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17.75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17.67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12.78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17.75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17.75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17.75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показателей энергосбережения и повышения энергоэффективностиобусловлено оснащением всех бюджетных учреждений района приборами учета потребления ресурсов, реализацией программы энергосбережения и повышения энергоэффективности. Расчет показателей эн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ергетических ресурсов основан на информации предоставленной ресурсоснабжающими организациями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834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40.2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тепловая энергия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Гкал на 1 кв. метр общей площади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0.02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показателей энергосбережения и повышения энергоэффективностиобусловлено оснащением всех бюджетных учреждений района приборами учета потребления ресурсов, реализацией программы энергосбережения и повышения энергоэффективности. Расчет показателей эн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ергетических ресурсов основан на информации предоставленной ресурсоснабжающими организациями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834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40.3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горячая вода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куб. метров на 1 проживающего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0.04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показателей энергосбережения и повышения энергоэффективностиобусловлено оснащением всех бюджетных учреждений района приборами учета потребления ресурсов, реализацией программы энергосбережения и повышения энергоэффективности. Расчет показателей эн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ергетических ресурсов основан на информации предоставленной ресурсоснабжающими организациями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819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40.4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холодная вода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куб. метров на 1 проживающего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0.42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0.42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0.42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0.42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0.42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показателей энергосбережения и повышения энергоэффективностиобусловлено оснащением всех бюджетных учреждений района приборами учета потребления ресурсов, реализацией программы энергосбережения и повышения энергоэффективности. Расчет показателей эн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ергетических ресурсов основан на информации предоставленной ресурсоснабжающими организациями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834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40.5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природный газ 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куб. метров на 1 проживающего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2.72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2.79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1.96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2.72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2.72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2.72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показателей энергосбережения и повышения энергоэффективностиобусловлено оснащением всех бюджетных учреждений района приборами учета потребления ресурсов, реализацией программы энергосбережения и повышения энергоэффективности. Расчет показателей эн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ергетических ресурсов основан на информации предоставленной ресурсоснабжающими организациями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444"/>
        </w:trPr>
        <w:tc>
          <w:tcPr>
            <w:tcW w:w="155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541BA" w:rsidRDefault="00AC114B">
            <w:pPr>
              <w:spacing w:line="226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Оценка качества условий оказания услуг муниципальными организациями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588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Результаты независимой оценки качества условий оказания услуг муниципальными организациями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401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41.1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муниципальному образованию в целом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баллов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91.86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91.51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94.13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91.51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415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41.2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отрасли «Культура»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баллов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93.25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94</w:t>
            </w:r>
            <w:bookmarkStart w:id="0" w:name="_GoBack"/>
            <w:bookmarkEnd w:id="0"/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F541B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Данные услуги не предусмотрены.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402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41.3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отрасли «Образование»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баллов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93.10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89.78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92.93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Целевое значение показателя достигнуто.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945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41.4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отрасли «Охрана здоровья»* (Информация предоставляется в случае передачи органами государственной власти субъектов Российской Федерации полномочий в сфере охраны здоровья органам местного самоуправления городских округов и муниципальных районов)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баллов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Полномочия по отрасли "Охрана здоровья" не переданы на уровень на уровень органов местного самоуправления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  <w:tr w:rsidR="00F541BA">
        <w:trPr>
          <w:trHeight w:hRule="exact" w:val="1290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41.5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отрасли «Социальное обслуживание»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баллов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90.61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95.32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F541BA" w:rsidRDefault="00AC114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результате  независимой оценки учреждений  социального обслуживания  в 2022 году МБУСОССЗН «Социально - реабилитационный центр для несовершеннолетних» Белгородского района  набрал 95,32 балла, что выше планового показателя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41BA" w:rsidRDefault="00F541BA"/>
        </w:tc>
      </w:tr>
    </w:tbl>
    <w:p w:rsidR="00AC114B" w:rsidRDefault="00AC114B"/>
    <w:sectPr w:rsidR="00AC114B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1BA"/>
    <w:rsid w:val="00245AF4"/>
    <w:rsid w:val="00AC114B"/>
    <w:rsid w:val="00F5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7A672-A2AD-4B4C-844C-BD609B93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4416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доклада (Федеральный сбор)</vt:lpstr>
    </vt:vector>
  </TitlesOfParts>
  <Company>2020.2.1 from 03 February 2020, Java</Company>
  <LinksUpToDate>false</LinksUpToDate>
  <CharactersWithSpaces>29534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доклада (Федеральный сбор)</dc:title>
  <dc:subject>Типовая форма доклада (Федеральный сбор)</dc:subject>
  <dc:creator/>
  <cp:keywords/>
  <dc:description/>
  <cp:lastModifiedBy>Гендега Элина Владислововна</cp:lastModifiedBy>
  <cp:revision>2</cp:revision>
  <cp:lastPrinted>2023-04-28T07:22:00Z</cp:lastPrinted>
  <dcterms:created xsi:type="dcterms:W3CDTF">2023-04-26T13:04:00Z</dcterms:created>
  <dcterms:modified xsi:type="dcterms:W3CDTF">2023-04-28T07:25:00Z</dcterms:modified>
</cp:coreProperties>
</file>