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eg"/>
  <Default ContentType="image/png" Extension="png"/>
  <Default ContentType="image/x-emf" Extension="emf"/>
  <Default ContentType="application/rtf" Extension="rtf"/>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Types>
</file>

<file path=_rels/.rels><?xml version="1.0" encoding="UTF-8"?>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tbl>
      <w:tblPr>
        <w:tblStyle w:val="a1"/>
        <w:tblW w:type="dxa" w:w="0"/>
        <w:tblLayout w:type="fixed"/>
        <w:tblCellMar>
          <w:top w:type="dxa" w:w="0"/>
          <w:left w:type="dxa" w:w="0"/>
          <w:bottom w:type="dxa" w:w="0"/>
          <w:right w:type="dxa" w:w="0"/>
        </w:tblCellMar>
        <w:tblLook w:val="04A0"/>
      </w:tblPr>
      <w:tblGrid>
        <w:gridCol w:w="559"/>
        <w:gridCol w:w="1132"/>
        <w:gridCol w:w="2264"/>
        <w:gridCol w:w="1002"/>
        <w:gridCol w:w="459"/>
        <w:gridCol w:w="1017"/>
        <w:gridCol w:w="1232"/>
        <w:gridCol w:w="1362"/>
        <w:gridCol w:w="1690"/>
      </w:tblGrid>
      <w:tr>
        <w:trPr>
          <w:trHeight w:hRule="exact" w:val="115"/>
        </w:trPr>
        <w:tc>
          <w:tcPr>
            <w:tcW w:type="dxa" w:w="10717"/>
            <w:gridSpan w:val="9"/>
          </w:tcPr>
          <w:p/>
        </w:tc>
      </w:tr>
      <w:tr>
        <w:trPr>
          <w:trHeight w:hRule="exact" w:val="558"/>
        </w:trPr>
        <w:tc>
          <w:tcPr>
            <w:tcW w:type="dxa" w:w="10717"/>
            <w:gridSpan w:val="9"/>
            <w:shd w:color="auto" w:fill="FFFFFF" w:val="clear"/>
          </w:tcPr>
          <w:p>
            <w:pPr>
              <w:spacing w:line="226"/>
              <w:jc w:val="center"/>
              <w:rPr>
                <w:rFonts w:ascii="Times New Roman" w:cs="Times New Roman" w:eastAsia="Times New Roman" w:hAnsi="Times New Roman"/>
                <w:b/>
                <w:color w:val="000000"/>
                <w:sz w:val="22.0"/>
                <w:spacing w:val="-2"/>
              </w:rPr>
            </w:pPr>
            <w:r>
              <w:rPr>
                <w:rFonts w:ascii="Times New Roman" w:cs="Times New Roman" w:eastAsia="Times New Roman" w:hAnsi="Times New Roman"/>
                <w:b/>
                <w:color w:val="000000"/>
                <w:sz w:val="22.0"/>
                <w:spacing w:val="-2"/>
              </w:rPr>
              <w:t xml:space="preserve">ТИПОВАЯ ФОРМА ДОКЛАДА</w:t>
            </w:r>
          </w:p>
        </w:tc>
      </w:tr>
      <w:tr>
        <w:trPr>
          <w:trHeight w:hRule="exact" w:val="674"/>
        </w:trPr>
        <w:tc>
          <w:tcPr>
            <w:tcW w:type="dxa" w:w="10717"/>
            <w:gridSpan w:val="9"/>
            <w:vAlign w:val="bottom"/>
            <w:shd w:color="auto" w:fill="FFFFFF" w:val="clear"/>
          </w:tcPr>
          <w:p>
            <w:pPr>
              <w:spacing w:line="226"/>
              <w:jc w:val="center"/>
              <w:rPr>
                <w:rFonts w:ascii="Times New Roman" w:cs="Times New Roman" w:eastAsia="Times New Roman" w:hAnsi="Times New Roman"/>
                <w:b/>
                <w:color w:val="000000"/>
                <w:sz w:val="22.0"/>
                <w:spacing w:val="-2"/>
              </w:rPr>
            </w:pPr>
            <w:r>
              <w:rPr>
                <w:rFonts w:ascii="Times New Roman" w:cs="Times New Roman" w:eastAsia="Times New Roman" w:hAnsi="Times New Roman"/>
                <w:b/>
                <w:color w:val="000000"/>
                <w:sz w:val="22.0"/>
                <w:spacing w:val="-2"/>
              </w:rPr>
              <w:t xml:space="preserve">Перцев Владимир Николаевич</w:t>
            </w:r>
          </w:p>
        </w:tc>
      </w:tr>
      <w:tr>
        <w:trPr>
          <w:trHeight w:hRule="exact" w:val="802"/>
        </w:trPr>
        <w:tc>
          <w:tcPr>
            <w:tcW w:type="dxa" w:w="1691"/>
            <w:gridSpan w:val="2"/>
          </w:tcPr>
          <w:p/>
        </w:tc>
        <w:tc>
          <w:tcPr>
            <w:tcW w:type="dxa" w:w="7336"/>
            <w:gridSpan w:val="6"/>
            <w:tcBorders>
              <w:top w:color="000000" w:space="0" w:sz="5" w:val="single"/>
            </w:tcBorders>
            <w:shd w:color="auto" w:fill="FFFFFF" w:val="clear"/>
          </w:tcPr>
          <w:p>
            <w:pPr>
              <w:spacing w:line="226"/>
              <w:jc w:val="center"/>
              <w:rPr>
                <w:rFonts w:ascii="Times New Roman" w:cs="Times New Roman" w:eastAsia="Times New Roman" w:hAnsi="Times New Roman"/>
                <w:color w:val="000000"/>
                <w:sz w:val="22.0"/>
                <w:spacing w:val="-2"/>
              </w:rPr>
            </w:pPr>
            <w:r>
              <w:rPr>
                <w:rFonts w:ascii="Times New Roman" w:cs="Times New Roman" w:eastAsia="Times New Roman" w:hAnsi="Times New Roman"/>
                <w:color w:val="000000"/>
                <w:sz w:val="22.0"/>
                <w:spacing w:val="-2"/>
              </w:rPr>
              <w:t xml:space="preserve">Ф.И.О., официально наименование должности руководителя муниципального образования области</w:t>
            </w:r>
          </w:p>
          <w:p>
            <w:pPr>
              <w:spacing w:line="226"/>
              <w:jc w:val="center"/>
              <w:rPr>
                <w:rFonts w:ascii="Times New Roman" w:cs="Times New Roman" w:eastAsia="Times New Roman" w:hAnsi="Times New Roman"/>
                <w:color w:val="000000"/>
                <w:sz w:val="22.0"/>
                <w:spacing w:val="-2"/>
              </w:rPr>
            </w:pPr>
            <w:r>
              <w:rPr>
                <w:rFonts w:ascii="Times New Roman" w:cs="Times New Roman" w:eastAsia="Times New Roman" w:hAnsi="Times New Roman"/>
                <w:color w:val="000000"/>
                <w:sz w:val="22.0"/>
                <w:spacing w:val="-2"/>
              </w:rPr>
              <w:t xml:space="preserve">(городского округа, муниципального района)</w:t>
            </w:r>
          </w:p>
        </w:tc>
        <w:tc>
          <w:tcPr>
            <w:tcW w:type="dxa" w:w="1690"/>
          </w:tcPr>
          <w:p/>
        </w:tc>
      </w:tr>
      <w:tr>
        <w:trPr>
          <w:trHeight w:hRule="exact" w:val="788"/>
        </w:trPr>
        <w:tc>
          <w:tcPr>
            <w:tcW w:type="dxa" w:w="10717"/>
            <w:gridSpan w:val="9"/>
            <w:vAlign w:val="bottom"/>
            <w:shd w:color="auto" w:fill="FFFFFF" w:val="clear"/>
          </w:tcPr>
          <w:p>
            <w:pPr>
              <w:spacing w:line="226"/>
              <w:jc w:val="center"/>
              <w:rPr>
                <w:rFonts w:ascii="Times New Roman" w:cs="Times New Roman" w:eastAsia="Times New Roman" w:hAnsi="Times New Roman"/>
                <w:b/>
                <w:color w:val="000000"/>
                <w:sz w:val="28.0"/>
                <w:spacing w:val="-2"/>
              </w:rPr>
            </w:pPr>
            <w:r>
              <w:rPr>
                <w:rFonts w:ascii="Times New Roman" w:cs="Times New Roman" w:eastAsia="Times New Roman" w:hAnsi="Times New Roman"/>
                <w:b/>
                <w:color w:val="000000"/>
                <w:sz w:val="28.0"/>
                <w:spacing w:val="-2"/>
              </w:rPr>
              <w:t xml:space="preserve">о достигнутых значениях ключевых показателей эффективности деятельности управленческой команды органов местного самоуправления</w:t>
            </w:r>
          </w:p>
        </w:tc>
      </w:tr>
      <w:tr>
        <w:trPr>
          <w:trHeight w:hRule="exact" w:val="559"/>
        </w:trPr>
        <w:tc>
          <w:tcPr>
            <w:tcW w:type="dxa" w:w="10717"/>
            <w:gridSpan w:val="9"/>
            <w:vAlign w:val="center"/>
            <w:shd w:color="auto" w:fill="FFFFFF" w:val="clear"/>
          </w:tcPr>
          <w:p>
            <w:pPr>
              <w:spacing w:line="226"/>
              <w:jc w:val="center"/>
              <w:rPr>
                <w:rFonts w:ascii="Times New Roman" w:cs="Times New Roman" w:eastAsia="Times New Roman" w:hAnsi="Times New Roman"/>
                <w:b/>
                <w:color w:val="000000"/>
                <w:sz w:val="22.0"/>
                <w:spacing w:val="-2"/>
              </w:rPr>
            </w:pPr>
          </w:p>
          <w:p>
            <w:pPr>
              <w:spacing w:line="226"/>
              <w:jc w:val="center"/>
              <w:rPr>
                <w:rFonts w:ascii="Times New Roman" w:cs="Times New Roman" w:eastAsia="Times New Roman" w:hAnsi="Times New Roman"/>
                <w:b/>
                <w:color w:val="000000"/>
                <w:sz w:val="22.0"/>
                <w:spacing w:val="-2"/>
              </w:rPr>
            </w:pPr>
            <w:r>
              <w:rPr>
                <w:rFonts w:ascii="Times New Roman" w:cs="Times New Roman" w:eastAsia="Times New Roman" w:hAnsi="Times New Roman"/>
                <w:b/>
                <w:color w:val="000000"/>
                <w:sz w:val="22.0"/>
                <w:spacing w:val="-2"/>
              </w:rPr>
              <w:t xml:space="preserve">Белгородский район</w:t>
            </w:r>
          </w:p>
        </w:tc>
      </w:tr>
      <w:tr>
        <w:trPr>
          <w:trHeight w:hRule="exact" w:val="788"/>
        </w:trPr>
        <w:tc>
          <w:tcPr>
            <w:tcW w:type="dxa" w:w="1691"/>
            <w:gridSpan w:val="2"/>
          </w:tcPr>
          <w:p/>
        </w:tc>
        <w:tc>
          <w:tcPr>
            <w:tcW w:type="dxa" w:w="7336"/>
            <w:gridSpan w:val="6"/>
            <w:vAlign w:val="bottom"/>
            <w:tcBorders>
              <w:top w:color="000000" w:space="0" w:sz="5" w:val="single"/>
            </w:tcBorders>
            <w:shd w:color="auto" w:fill="FFFFFF" w:val="clear"/>
          </w:tcPr>
          <w:p>
            <w:pPr>
              <w:spacing w:line="226"/>
              <w:jc w:val="center"/>
              <w:rPr>
                <w:rFonts w:ascii="Times New Roman" w:cs="Times New Roman" w:eastAsia="Times New Roman" w:hAnsi="Times New Roman"/>
                <w:color w:val="000000"/>
                <w:sz w:val="22.0"/>
                <w:spacing w:val="-2"/>
              </w:rPr>
            </w:pPr>
            <w:r>
              <w:rPr>
                <w:rFonts w:ascii="Times New Roman" w:cs="Times New Roman" w:eastAsia="Times New Roman" w:hAnsi="Times New Roman"/>
                <w:color w:val="000000"/>
                <w:sz w:val="22.0"/>
                <w:spacing w:val="-2"/>
              </w:rPr>
              <w:t xml:space="preserve">Официальное наименование муниципального образования области</w:t>
            </w:r>
          </w:p>
          <w:p>
            <w:pPr>
              <w:spacing w:line="226"/>
              <w:jc w:val="center"/>
              <w:rPr>
                <w:rFonts w:ascii="Times New Roman" w:cs="Times New Roman" w:eastAsia="Times New Roman" w:hAnsi="Times New Roman"/>
                <w:color w:val="000000"/>
                <w:sz w:val="22.0"/>
                <w:spacing w:val="-2"/>
              </w:rPr>
            </w:pPr>
            <w:r>
              <w:rPr>
                <w:rFonts w:ascii="Times New Roman" w:cs="Times New Roman" w:eastAsia="Times New Roman" w:hAnsi="Times New Roman"/>
                <w:color w:val="000000"/>
                <w:sz w:val="22.0"/>
                <w:spacing w:val="-2"/>
              </w:rPr>
              <w:t xml:space="preserve">(городского округа, муниципального района)</w:t>
            </w:r>
          </w:p>
          <w:p>
            <w:pPr>
              <w:spacing w:line="226"/>
              <w:jc w:val="center"/>
              <w:rPr>
                <w:rFonts w:ascii="Times New Roman" w:cs="Times New Roman" w:eastAsia="Times New Roman" w:hAnsi="Times New Roman"/>
                <w:color w:val="000000"/>
                <w:sz w:val="22.0"/>
                <w:spacing w:val="-2"/>
              </w:rPr>
            </w:pPr>
            <w:r>
              <w:rPr>
                <w:rFonts w:ascii="Times New Roman" w:cs="Times New Roman" w:eastAsia="Times New Roman" w:hAnsi="Times New Roman"/>
                <w:color w:val="000000"/>
                <w:sz w:val="22.0"/>
                <w:spacing w:val="-2"/>
              </w:rPr>
              <w:t xml:space="preserve">за 2021 год</w:t>
            </w:r>
          </w:p>
        </w:tc>
        <w:tc>
          <w:tcPr>
            <w:tcW w:type="dxa" w:w="1690"/>
          </w:tcPr>
          <w:p/>
        </w:tc>
      </w:tr>
      <w:tr>
        <w:trPr>
          <w:trHeight w:hRule="exact" w:val="673"/>
        </w:trPr>
        <w:tc>
          <w:tcPr>
            <w:tcW w:type="dxa" w:w="10717"/>
            <w:gridSpan w:val="9"/>
            <w:vAlign w:val="center"/>
            <w:shd w:color="auto" w:fill="FFFFFF" w:val="clear"/>
          </w:tcPr>
          <w:p>
            <w:pPr>
              <w:spacing w:line="226"/>
              <w:jc w:val="right"/>
              <w:rPr>
                <w:rFonts w:ascii="Times New Roman" w:cs="Times New Roman" w:eastAsia="Times New Roman" w:hAnsi="Times New Roman"/>
                <w:color w:val="000000"/>
                <w:sz w:val="22.0"/>
                <w:spacing w:val="-2"/>
              </w:rPr>
            </w:pPr>
            <w:r>
              <w:rPr>
                <w:rFonts w:ascii="Times New Roman" w:cs="Times New Roman" w:eastAsia="Times New Roman" w:hAnsi="Times New Roman"/>
                <w:color w:val="000000"/>
                <w:sz w:val="22.0"/>
                <w:spacing w:val="-2"/>
              </w:rPr>
              <w:t xml:space="preserve">Подпись _____________</w:t>
            </w:r>
          </w:p>
        </w:tc>
      </w:tr>
      <w:tr>
        <w:trPr>
          <w:trHeight w:hRule="exact" w:val="1706"/>
        </w:trPr>
        <w:tc>
          <w:tcPr>
            <w:tcW w:type="dxa" w:w="5416"/>
            <w:gridSpan w:val="5"/>
          </w:tcPr>
          <w:p/>
        </w:tc>
        <w:tc>
          <w:tcPr>
            <w:tcW w:type="dxa" w:w="5301"/>
            <w:gridSpan w:val="4"/>
            <w:vAlign w:val="center"/>
            <w:shd w:color="auto" w:fill="FFFFFF" w:val="clear"/>
          </w:tcPr>
          <w:p>
            <w:pPr>
              <w:spacing w:line="226"/>
              <w:jc w:val="center"/>
              <w:rPr>
                <w:rFonts w:ascii="Arial" w:cs="Arial" w:eastAsia="Arial" w:hAnsi="Arial"/>
                <w:color w:val="FFFFFF"/>
                <w:sz w:val="16.0"/>
                <w:spacing w:val="-2"/>
              </w:rPr>
            </w:pPr>
            <w:r>
              <w:rPr>
                <w:rFonts w:ascii="Arial" w:cs="Arial" w:eastAsia="Arial" w:hAnsi="Arial"/>
                <w:color w:val="FFFFFF"/>
                <w:sz w:val="16.0"/>
                <w:spacing w:val="-2"/>
              </w:rPr>
              <w:t xml:space="preserve">${STAMP}</w:t>
            </w:r>
          </w:p>
        </w:tc>
      </w:tr>
      <w:tr>
        <w:trPr>
          <w:trHeight w:hRule="exact" w:val="558"/>
        </w:trPr>
        <w:tc>
          <w:tcPr>
            <w:tcW w:type="dxa" w:w="10717"/>
            <w:gridSpan w:val="9"/>
            <w:vAlign w:val="center"/>
            <w:shd w:color="auto" w:fill="FFFFFF" w:val="clear"/>
          </w:tcPr>
          <w:p>
            <w:pPr>
              <w:spacing w:line="226"/>
              <w:jc w:val="right"/>
              <w:rPr>
                <w:rFonts w:ascii="Times New Roman" w:cs="Times New Roman" w:eastAsia="Times New Roman" w:hAnsi="Times New Roman"/>
                <w:color w:val="000000"/>
                <w:sz w:val="22.0"/>
                <w:spacing w:val="-2"/>
              </w:rPr>
            </w:pPr>
            <w:r>
              <w:rPr>
                <w:rFonts w:ascii="Times New Roman" w:cs="Times New Roman" w:eastAsia="Times New Roman" w:hAnsi="Times New Roman"/>
                <w:color w:val="000000"/>
                <w:sz w:val="22.0"/>
                <w:spacing w:val="-2"/>
              </w:rPr>
              <w:t xml:space="preserve">Дата __ ______ _____г.</w:t>
            </w:r>
          </w:p>
        </w:tc>
      </w:tr>
      <w:tr>
        <w:trPr>
          <w:trHeight w:hRule="exact" w:val="903"/>
        </w:trPr>
        <w:tc>
          <w:tcPr>
            <w:tcW w:type="dxa" w:w="10717"/>
            <w:gridSpan w:val="9"/>
            <w:vAlign w:val="center"/>
            <w:shd w:color="auto" w:fill="FFFFFF" w:val="clear"/>
          </w:tcPr>
          <w:p>
            <w:pPr>
              <w:spacing w:line="226"/>
              <w:jc w:val="center"/>
              <w:rPr>
                <w:rFonts w:ascii="Times New Roman" w:cs="Times New Roman" w:eastAsia="Times New Roman" w:hAnsi="Times New Roman"/>
                <w:b/>
                <w:color w:val="000000"/>
                <w:sz w:val="28.0"/>
                <w:spacing w:val="-2"/>
              </w:rPr>
            </w:pPr>
            <w:r>
              <w:rPr>
                <w:rFonts w:ascii="Times New Roman" w:cs="Times New Roman" w:eastAsia="Times New Roman" w:hAnsi="Times New Roman"/>
                <w:b/>
                <w:color w:val="000000"/>
                <w:sz w:val="28.0"/>
                <w:spacing w:val="-2"/>
              </w:rPr>
              <w:t xml:space="preserve">Ключевые показатели эффективности деятельности управленческой команды органов местного самоуправления</w:t>
            </w:r>
          </w:p>
        </w:tc>
      </w:tr>
      <w:tr>
        <w:trPr>
          <w:trHeight w:hRule="exact" w:val="673"/>
        </w:trPr>
        <w:tc>
          <w:tcPr>
            <w:tcW w:type="dxa" w:w="10717"/>
            <w:gridSpan w:val="9"/>
            <w:vAlign w:val="center"/>
            <w:shd w:color="auto" w:fill="FFFFFF" w:val="clear"/>
          </w:tcPr>
          <w:p>
            <w:pPr>
              <w:spacing w:line="226"/>
              <w:jc w:val="center"/>
              <w:rPr>
                <w:rFonts w:ascii="Times New Roman" w:cs="Times New Roman" w:eastAsia="Times New Roman" w:hAnsi="Times New Roman"/>
                <w:b/>
                <w:color w:val="000000"/>
                <w:sz w:val="22.0"/>
                <w:spacing w:val="-2"/>
              </w:rPr>
            </w:pPr>
          </w:p>
          <w:p>
            <w:pPr>
              <w:spacing w:line="226"/>
              <w:jc w:val="center"/>
              <w:rPr>
                <w:rFonts w:ascii="Times New Roman" w:cs="Times New Roman" w:eastAsia="Times New Roman" w:hAnsi="Times New Roman"/>
                <w:b/>
                <w:color w:val="000000"/>
                <w:sz w:val="22.0"/>
                <w:spacing w:val="-2"/>
              </w:rPr>
            </w:pPr>
            <w:r>
              <w:rPr>
                <w:rFonts w:ascii="Times New Roman" w:cs="Times New Roman" w:eastAsia="Times New Roman" w:hAnsi="Times New Roman"/>
                <w:b/>
                <w:color w:val="000000"/>
                <w:sz w:val="22.0"/>
                <w:spacing w:val="-2"/>
              </w:rPr>
              <w:t xml:space="preserve">Белгородский район</w:t>
            </w:r>
          </w:p>
        </w:tc>
      </w:tr>
      <w:tr>
        <w:trPr>
          <w:trHeight w:hRule="exact" w:val="574"/>
        </w:trPr>
        <w:tc>
          <w:tcPr>
            <w:tcW w:type="dxa" w:w="1691"/>
            <w:gridSpan w:val="2"/>
          </w:tcPr>
          <w:p/>
        </w:tc>
        <w:tc>
          <w:tcPr>
            <w:tcW w:type="dxa" w:w="7336"/>
            <w:gridSpan w:val="6"/>
            <w:tcBorders>
              <w:top w:color="000000" w:space="0" w:sz="5" w:val="single"/>
            </w:tcBorders>
            <w:shd w:color="auto" w:fill="FFFFFF" w:val="clear"/>
          </w:tcPr>
          <w:p>
            <w:pPr>
              <w:spacing w:line="226"/>
              <w:jc w:val="center"/>
              <w:rPr>
                <w:rFonts w:ascii="Times New Roman" w:cs="Times New Roman" w:eastAsia="Times New Roman" w:hAnsi="Times New Roman"/>
                <w:color w:val="000000"/>
                <w:sz w:val="22.0"/>
                <w:spacing w:val="-2"/>
              </w:rPr>
            </w:pPr>
            <w:r>
              <w:rPr>
                <w:rFonts w:ascii="Times New Roman" w:cs="Times New Roman" w:eastAsia="Times New Roman" w:hAnsi="Times New Roman"/>
                <w:color w:val="000000"/>
                <w:sz w:val="22.0"/>
                <w:spacing w:val="-2"/>
              </w:rPr>
              <w:t xml:space="preserve">Официальное наименование муниципального образования области</w:t>
            </w:r>
          </w:p>
          <w:p>
            <w:pPr>
              <w:spacing w:line="226"/>
              <w:jc w:val="center"/>
              <w:rPr>
                <w:rFonts w:ascii="Times New Roman" w:cs="Times New Roman" w:eastAsia="Times New Roman" w:hAnsi="Times New Roman"/>
                <w:color w:val="000000"/>
                <w:sz w:val="22.0"/>
                <w:spacing w:val="-2"/>
              </w:rPr>
            </w:pPr>
            <w:r>
              <w:rPr>
                <w:rFonts w:ascii="Times New Roman" w:cs="Times New Roman" w:eastAsia="Times New Roman" w:hAnsi="Times New Roman"/>
                <w:color w:val="000000"/>
                <w:sz w:val="22.0"/>
                <w:spacing w:val="-2"/>
              </w:rPr>
              <w:t xml:space="preserve">(городского округа, муниципального района)</w:t>
            </w:r>
          </w:p>
        </w:tc>
        <w:tc>
          <w:tcPr>
            <w:tcW w:type="dxa" w:w="1690"/>
          </w:tcPr>
          <w:p/>
        </w:tc>
      </w:tr>
      <w:tr>
        <w:trPr>
          <w:trHeight w:hRule="exact" w:val="100"/>
        </w:trPr>
        <w:tc>
          <w:tcPr>
            <w:tcW w:type="dxa" w:w="10717"/>
            <w:gridSpan w:val="9"/>
          </w:tcPr>
          <w:p/>
        </w:tc>
      </w:tr>
      <w:tr>
        <w:trPr>
          <w:trHeight w:hRule="exact" w:val="114"/>
        </w:trPr>
        <w:tc>
          <w:tcPr>
            <w:tcW w:type="dxa" w:w="10717"/>
            <w:gridSpan w:val="9"/>
            <w:tcBorders>
              <w:bottom w:color="000000" w:space="0" w:sz="5" w:val="single"/>
            </w:tcBorders>
          </w:tcPr>
          <w:p/>
        </w:tc>
      </w:tr>
      <w:tr>
        <w:trPr>
          <w:trHeight w:hRule="exact" w:val="1920"/>
        </w:trPr>
        <w:tc>
          <w:tcPr>
            <w:tcW w:type="dxa" w:w="559"/>
            <w:tcMar>
              <w:top w:type="dxa" w:w="1"/>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w:t>
            </w:r>
          </w:p>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п/п</w:t>
            </w:r>
          </w:p>
        </w:tc>
        <w:tc>
          <w:tcPr>
            <w:tcW w:type="dxa" w:w="3396"/>
            <w:gridSpan w:val="2"/>
            <w:tcMar>
              <w:top w:type="dxa" w:w="1"/>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Наименование КПЭ</w:t>
            </w:r>
          </w:p>
        </w:tc>
        <w:tc>
          <w:tcPr>
            <w:tcW w:type="dxa" w:w="1002"/>
            <w:tcMar>
              <w:top w:type="dxa" w:w="1"/>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Единица измерения</w:t>
            </w:r>
          </w:p>
        </w:tc>
        <w:tc>
          <w:tcPr>
            <w:tcW w:type="dxa" w:w="1476"/>
            <w:gridSpan w:val="2"/>
            <w:tcMar>
              <w:top w:type="dxa" w:w="1"/>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Значение КПЭ за год, предшествующий отчетному</w:t>
            </w:r>
          </w:p>
        </w:tc>
        <w:tc>
          <w:tcPr>
            <w:tcW w:type="dxa" w:w="1232"/>
            <w:tcMar>
              <w:top w:type="dxa" w:w="1"/>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Значение КПЭ за отчетный год</w:t>
            </w:r>
          </w:p>
        </w:tc>
        <w:tc>
          <w:tcPr>
            <w:tcW w:type="dxa" w:w="1362"/>
            <w:tcMar>
              <w:top w:type="dxa" w:w="1"/>
              <w:left w:type="dxa" w:w="1"/>
              <w:right w:type="dxa" w:w="1"/>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Целевое значение КПЭ</w:t>
            </w:r>
          </w:p>
        </w:tc>
        <w:tc>
          <w:tcPr>
            <w:tcW w:type="dxa" w:w="1690"/>
            <w:tcMar>
              <w:top w:type="dxa" w:w="1"/>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Примечание (краткое обоснование достигнутых КПЭ)</w:t>
            </w:r>
          </w:p>
        </w:tc>
      </w:tr>
      <w:tr>
        <w:trPr>
          <w:trHeight w:hRule="exact" w:val="459"/>
        </w:trPr>
        <w:tc>
          <w:tcPr>
            <w:tcW w:type="dxa" w:w="10717"/>
            <w:gridSpan w:val="9"/>
            <w:tcMar>
              <w:top w:type="dxa" w:w="29"/>
              <w:left w:type="dxa" w:w="29"/>
              <w:right w:type="dxa" w:w="29"/>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Специфические КПЭ</w:t>
            </w:r>
          </w:p>
        </w:tc>
      </w:tr>
      <w:tr>
        <w:trPr>
          <w:trHeight w:hRule="exact" w:val="286"/>
        </w:trPr>
        <w:tc>
          <w:tcPr>
            <w:tcW w:type="dxa" w:w="10717"/>
            <w:gridSpan w:val="9"/>
            <w:tcMar>
              <w:top w:type="dxa" w:w="29"/>
              <w:left w:type="dxa" w:w="29"/>
              <w:right w:type="dxa" w:w="29"/>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color w:val="000000"/>
                <w:sz w:val="20.0"/>
                <w:spacing w:val="-2"/>
              </w:rPr>
            </w:pPr>
            <w:r>
              <w:rPr>
                <w:rFonts w:ascii="Arial" w:cs="Arial" w:eastAsia="Arial" w:hAnsi="Arial"/>
                <w:color w:val="000000"/>
                <w:sz w:val="20.0"/>
                <w:spacing w:val="-2"/>
              </w:rPr>
              <w:t xml:space="preserve">Уровень доверия к власти</w:t>
            </w:r>
          </w:p>
        </w:tc>
      </w:tr>
      <w:tr>
        <w:trPr>
          <w:trHeight w:hRule="exact" w:val="1691"/>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Уровень доверия к власти</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единица</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0.9</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0.97</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Значение показателя достигнуто  за счет реализации большого количества проектов. В 2021 году на территории Белгородского района были введены  в эксплуатацию следующие объекты: строительство детской школы искусств в с. Бессоновка, строительство культурно-спортивного центра в с. Таврово, строительство </w:t>
            </w:r>
          </w:p>
        </w:tc>
      </w:tr>
      <w:tr>
        <w:trPr>
          <w:trHeight w:hRule="exact" w:val="1691"/>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865"/>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стадиона в п. Разумное, строительство пристройки блока начальных классов к МОУ «Комсомольская средняя общеобразовательная школа Белгородского района Белгородской области», строительство  ФАП в с. Пуляевка Белгородского района ОГБУЗ «Белгородская центральная районная больница», строительство ОСВ в мкр. «Улитка» Белгородского района ОГБУЗ «Белгородская центральная районная больница» В рамках национального проекта «Образование» введены  в эксплуатацию объекты:строительство начальной школы на 100 мест  в мкр. «Майский-8», строительство начальной школы на 100 мест  в мкр. «Стрелецкое-59», с. Стрелецкое. В соответствии с национальным проектом «Жилье и городская среда» введена в эксплуатацию школа  в селе Крутой Лог на 225 ученических мест. Проведен капитальный ремонт по таким объектам, как: капитальный ремонт стадиона школы № 2 в п. Северный, капитальный ремонт стадиона  в п. Октябрьский, капитальный ремонт общественного здания  в п. Октябрьский, капитальный ремонт МДОУ «Детский сад № 9»  п. Северный, капитальный ремонт СОШ № 1 п. Разумное, капитальный ремонт стадиона СОШ № 1 п. Разумное, капитальный ремонт здания МДОУ «Детский сад комбинированного типа № 18» п. Разумное, капитальный ремонт поликлиники в п. Разумное, благоустройство территории СОШ № 1  п. Разумное, капитальный ремонт МОУ «Северная СОШ № 1» Белгородского района, капитальный ремонт ДОУ № 28 п. Разумное Белгородского района, ремонт ФАП в с. Драгунское Белгородского района.</w:t>
            </w:r>
          </w:p>
        </w:tc>
      </w:tr>
      <w:tr>
        <w:trPr>
          <w:trHeight w:hRule="exact" w:val="2866"/>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866"/>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865"/>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1834"/>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1849"/>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300"/>
        </w:trPr>
        <w:tc>
          <w:tcPr>
            <w:tcW w:type="dxa" w:w="10717"/>
            <w:gridSpan w:val="9"/>
            <w:tcMar>
              <w:top w:type="dxa" w:w="29"/>
              <w:left w:type="dxa" w:w="29"/>
              <w:right w:type="dxa" w:w="29"/>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color w:val="000000"/>
                <w:sz w:val="20.0"/>
                <w:spacing w:val="-2"/>
              </w:rPr>
            </w:pPr>
            <w:r>
              <w:rPr>
                <w:rFonts w:ascii="Arial" w:cs="Arial" w:eastAsia="Arial" w:hAnsi="Arial"/>
                <w:color w:val="000000"/>
                <w:sz w:val="20.0"/>
                <w:spacing w:val="-2"/>
              </w:rPr>
              <w:t xml:space="preserve">Уровень экономического развития</w:t>
            </w:r>
          </w:p>
        </w:tc>
      </w:tr>
      <w:tr>
        <w:trPr>
          <w:trHeight w:hRule="exact" w:val="1720"/>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Количество субъектов малого и среднего предпринимательства,</w:t>
            </w:r>
          </w:p>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том числе индивидуальных предпринимателей и физических лиц - налогоплательщиков налога на профессиональный доход, в расчете на 10 000 человек населения</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единица</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661.42</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915.76</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601.00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Оказание консультационно-информационной поддержки субъектам малого и среднего предпринимательства в рамках муниципальной программы "Развитие экономического потенциала и формирование благоприятного предпринимательского климата в Белгородском районе", мероприятия "Программа 500/10000"</w:t>
            </w:r>
          </w:p>
        </w:tc>
      </w:tr>
      <w:tr>
        <w:trPr>
          <w:trHeight w:hRule="exact" w:val="1705"/>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1633"/>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3</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Содействие развитию конкуренции</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балл</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8.23</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Выполнение системных мероприятий, направленных на развитие конкурентной среды (в т. ч. ключевых показателей); мероприятий по содействиюю развитию конкуренции на товарных рынках муниципального района "Белгородский район" (в т. ч. ключевых показателей)</w:t>
            </w:r>
          </w:p>
        </w:tc>
      </w:tr>
      <w:tr>
        <w:trPr>
          <w:trHeight w:hRule="exact" w:val="1619"/>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932"/>
        </w:trPr>
        <w:tc>
          <w:tcPr>
            <w:tcW w:type="dxa" w:w="559"/>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4</w:t>
            </w:r>
          </w:p>
        </w:tc>
        <w:tc>
          <w:tcPr>
            <w:tcW w:type="dxa" w:w="339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Среднемесячная номинальная начисленная заработная плата работников по организациям, не относящимся к субъектам малого предпринимательства</w:t>
            </w:r>
          </w:p>
        </w:tc>
        <w:tc>
          <w:tcPr>
            <w:tcW w:type="dxa" w:w="100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рубль</w:t>
            </w:r>
          </w:p>
        </w:tc>
        <w:tc>
          <w:tcPr>
            <w:tcW w:type="dxa" w:w="147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35869.7</w:t>
            </w:r>
          </w:p>
        </w:tc>
        <w:tc>
          <w:tcPr>
            <w:tcW w:type="dxa" w:w="123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40113.2</w:t>
            </w:r>
          </w:p>
        </w:tc>
        <w:tc>
          <w:tcPr>
            <w:tcW w:type="dxa" w:w="136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38094.0</w:t>
            </w:r>
          </w:p>
        </w:tc>
        <w:tc>
          <w:tcPr>
            <w:tcW w:type="dxa" w:w="1690"/>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Эффективная работа с работодателями по повышению уровня заработной платы</w:t>
            </w:r>
          </w:p>
        </w:tc>
      </w:tr>
      <w:tr>
        <w:trPr>
          <w:trHeight w:hRule="exact" w:val="2521"/>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5</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Объем инвестиций в основной капитал (без субъектов малого предпринимательства и параметров неформальной деятельности)</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104.44</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92.65</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103.5</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Оценка показателя по итогам 2021 г. в соответствии с прогнозом социально-экономического развития Белгородского района составляет 6,0 млрд рублей или 92,6% к уровню значения данного показателя за 2020 г., что в значительной мере обусловлено снижением в 2021 г. объемов средств единых заказчиков в общем объеме инвестиций в основной капитал  преимущественно за счет снижения более чем в 2 раза средств, направляемых на строительство объектов дорожной сферы</w:t>
            </w:r>
          </w:p>
        </w:tc>
      </w:tr>
      <w:tr>
        <w:trPr>
          <w:trHeight w:hRule="exact" w:val="2508"/>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1834"/>
        </w:trPr>
        <w:tc>
          <w:tcPr>
            <w:tcW w:type="dxa" w:w="559"/>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6</w:t>
            </w:r>
          </w:p>
        </w:tc>
        <w:tc>
          <w:tcPr>
            <w:tcW w:type="dxa" w:w="339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Воспроизводство плодородия почв за счет применения органических удобрений</w:t>
            </w:r>
          </w:p>
        </w:tc>
        <w:tc>
          <w:tcPr>
            <w:tcW w:type="dxa" w:w="100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100.0</w:t>
            </w:r>
          </w:p>
        </w:tc>
        <w:tc>
          <w:tcPr>
            <w:tcW w:type="dxa" w:w="123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100.0</w:t>
            </w:r>
          </w:p>
        </w:tc>
        <w:tc>
          <w:tcPr>
            <w:tcW w:type="dxa" w:w="136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690"/>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Показатель фактический.  Сколько органических удобрений вывезено (в том числе КРС, птицеводческих,свиноводческих), в полном объеме и внесено.</w:t>
            </w:r>
          </w:p>
        </w:tc>
      </w:tr>
      <w:tr>
        <w:trPr>
          <w:trHeight w:hRule="exact" w:val="2722"/>
        </w:trPr>
        <w:tc>
          <w:tcPr>
            <w:tcW w:type="dxa" w:w="559"/>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7</w:t>
            </w:r>
          </w:p>
        </w:tc>
        <w:tc>
          <w:tcPr>
            <w:tcW w:type="dxa" w:w="339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 (для муниципальных образований области, участвующих в отчетном году в реализации федерального проекта «Дорожная сеть» национального проекта «Безопасные и качественные </w:t>
            </w:r>
          </w:p>
        </w:tc>
        <w:tc>
          <w:tcPr>
            <w:tcW w:type="dxa" w:w="100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79.50</w:t>
            </w:r>
          </w:p>
        </w:tc>
        <w:tc>
          <w:tcPr>
            <w:tcW w:type="dxa" w:w="123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80.6</w:t>
            </w:r>
          </w:p>
        </w:tc>
        <w:tc>
          <w:tcPr>
            <w:tcW w:type="dxa" w:w="136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80.6</w:t>
            </w:r>
          </w:p>
        </w:tc>
        <w:tc>
          <w:tcPr>
            <w:tcW w:type="dxa" w:w="1690"/>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рамках реализации национального проекта БКД в 2021 году выполнены мероприятия по ремонту автомобильных дорог общего пользования местного значения общей протяженностью 21,3 км, что позволило достигнуть целевое значение</w:t>
            </w:r>
          </w:p>
        </w:tc>
      </w:tr>
      <w:tr>
        <w:trPr>
          <w:trHeight w:hRule="exact" w:val="287"/>
        </w:trPr>
        <w:tc>
          <w:tcPr>
            <w:tcW w:type="dxa" w:w="10717"/>
            <w:gridSpan w:val="9"/>
            <w:tcMar>
              <w:top w:type="dxa" w:w="29"/>
              <w:left w:type="dxa" w:w="29"/>
              <w:right w:type="dxa" w:w="29"/>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color w:val="000000"/>
                <w:sz w:val="20.0"/>
                <w:spacing w:val="-2"/>
              </w:rPr>
            </w:pPr>
            <w:r>
              <w:rPr>
                <w:rFonts w:ascii="Arial" w:cs="Arial" w:eastAsia="Arial" w:hAnsi="Arial"/>
                <w:color w:val="000000"/>
                <w:sz w:val="20.0"/>
                <w:spacing w:val="-2"/>
              </w:rPr>
              <w:t xml:space="preserve">Уровень социального обеспечения</w:t>
            </w:r>
          </w:p>
        </w:tc>
      </w:tr>
      <w:tr>
        <w:trPr>
          <w:trHeight w:hRule="exact" w:val="2865"/>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8</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Количество граждан, старше 18 лет прошедших профилактические осмотры</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человек</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7695</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7513</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9292</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 Своевременное информирование граждан Белгородского района о прохождении Д и ПО (размещение информации на сайте «БЦРБ» , в газете «Знамя», на информационных стендах МО, на остановочных комплексах, магазинах, аптеках, у подъездов и т.д.)                                                                                       2. Составление планов – графиков, списков граждан по МО и в сельских поселениях (тесное взаимодействие с главамигородских и сельских поселений Белгородского района);                                                                                                                           3. Подворовые обходы медицинскими сотрудниками;                                                                                                                4. Приглашение на Д и ПО ( с помощью CАLL-center, администраторов);                                                                        5. Выезд мобильных бригад с передвижным флюорографом  в отдаленные МО Белгородского района.</w:t>
            </w:r>
          </w:p>
        </w:tc>
      </w:tr>
      <w:tr>
        <w:trPr>
          <w:trHeight w:hRule="exact" w:val="1977"/>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1963"/>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588"/>
        </w:trPr>
        <w:tc>
          <w:tcPr>
            <w:tcW w:type="dxa" w:w="559"/>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9</w:t>
            </w:r>
          </w:p>
        </w:tc>
        <w:tc>
          <w:tcPr>
            <w:tcW w:type="dxa" w:w="339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Количество граждан, старше 18 лет прошедших диспансеризацию</w:t>
            </w:r>
          </w:p>
        </w:tc>
        <w:tc>
          <w:tcPr>
            <w:tcW w:type="dxa" w:w="100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человек</w:t>
            </w:r>
          </w:p>
        </w:tc>
        <w:tc>
          <w:tcPr>
            <w:tcW w:type="dxa" w:w="147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17544</w:t>
            </w:r>
          </w:p>
        </w:tc>
        <w:tc>
          <w:tcPr>
            <w:tcW w:type="dxa" w:w="123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20076</w:t>
            </w:r>
          </w:p>
        </w:tc>
        <w:tc>
          <w:tcPr>
            <w:tcW w:type="dxa" w:w="136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24252</w:t>
            </w:r>
          </w:p>
        </w:tc>
        <w:tc>
          <w:tcPr>
            <w:tcW w:type="dxa" w:w="1690"/>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p>
        </w:tc>
      </w:tr>
      <w:tr>
        <w:trPr>
          <w:trHeight w:hRule="exact" w:val="2421"/>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Выполнение плана профилактических прививок, включенных в национальный календарь</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100.0</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98%</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 Проведение разъяснительной работы о необходимости вакцинации среди населения Белгородского района.                                                                                                                                   2.Систематическое проведение заседаний иммунологических комиссий по пересмотру медицинских отводов от прививок, регулярная  активная разъяснительная работа по проведению прививок детского и взрослого населения.             3. Еженедельный  сбор информации с врачебных участков района по проведению прививок среди детского и взрослого населения.</w:t>
            </w:r>
          </w:p>
        </w:tc>
      </w:tr>
      <w:tr>
        <w:trPr>
          <w:trHeight w:hRule="exact" w:val="2422"/>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1447"/>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11</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работающего населения, не вошедшего в план профилактических прививок, прошедшего вакцинацию против гриппа за счет работодателей</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10.69</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2.58</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5</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 Регулярное проведение разъяснительной работы о необходимости вакцинации против гриппа среди сотрудников предприятий. Своевременное оказание содействия работодателям в организации приобретения вакцины.</w:t>
            </w:r>
          </w:p>
        </w:tc>
      </w:tr>
      <w:tr>
        <w:trPr>
          <w:trHeight w:hRule="exact" w:val="1447"/>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780"/>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12</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0.054</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0.034</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0.031</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региональном этапе всероссийской олимпиады школьников  участвовали согласно установленной департаментом образования Белгородской области квоте 92 обучающихся 9-11 классов, из них 3 стали победителями, 37 - призерами. Согласно методике расчета КПЭ значение показателя рассчитывается с учетом количества обучающихся 9-11 классов района - участников регионального этапа, количества победителей  регионального этапа из муниципалитета, общей численности обучающихся 1-11 классов в муниципалитете.</w:t>
            </w:r>
          </w:p>
        </w:tc>
      </w:tr>
      <w:tr>
        <w:trPr>
          <w:trHeight w:hRule="exact" w:val="2779"/>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250"/>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13</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9 классов)</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67.86</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68.97</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67.2</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связи с востребованностью рабочих профессий и проведенной профориентационной работой в общеобразовательных учреждениях количество выпусников, завершивших обучение по программам среднего общего образования и поступивших для обучения по программам СПО в профессиональные образовательные организации Белгородской области и иные регионы Российской Федерации увеличилось</w:t>
            </w:r>
          </w:p>
        </w:tc>
      </w:tr>
      <w:tr>
        <w:trPr>
          <w:trHeight w:hRule="exact" w:val="2249"/>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250"/>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14</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11 классов)</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16.12</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17.32</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11.4</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связи с востребованностью рабочих профессий и проведенной профориентационной работой в общеобразовательных учреждениях количество выпусников, завершивших обучение по программам среднего общего образования и поступивших для обучения по программам СПО в профессиональные образовательные организации Белгородской области и иные регионы Российской Федерации увеличилось</w:t>
            </w:r>
          </w:p>
        </w:tc>
      </w:tr>
      <w:tr>
        <w:trPr>
          <w:trHeight w:hRule="exact" w:val="2249"/>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336"/>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15</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учащихся 10 – 11 классов общеобразовательных организаций муниципального образования области, освоивших программы профессионального обучения.</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55.01</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50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Мониторинг осуществляется с 2021 года.  В целях обеспечения социальной защищенности выпускников общеобразовательных организаций Белгородского района за счет получения профессиональных навыков по рабочим профессиям, проведены агитационные и профориентационные мероприятия, в связи с чем доля учащихся 10-11 классов, освоивших профессиональные программы обучения по первой рабочей профессии, увеличилась.</w:t>
            </w:r>
          </w:p>
        </w:tc>
      </w:tr>
      <w:tr>
        <w:trPr>
          <w:trHeight w:hRule="exact" w:val="2335"/>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87"/>
        </w:trPr>
        <w:tc>
          <w:tcPr>
            <w:tcW w:type="dxa" w:w="10717"/>
            <w:gridSpan w:val="9"/>
            <w:tcMar>
              <w:top w:type="dxa" w:w="29"/>
              <w:left w:type="dxa" w:w="29"/>
              <w:right w:type="dxa" w:w="29"/>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color w:val="000000"/>
                <w:sz w:val="20.0"/>
                <w:spacing w:val="-2"/>
              </w:rPr>
            </w:pPr>
            <w:r>
              <w:rPr>
                <w:rFonts w:ascii="Arial" w:cs="Arial" w:eastAsia="Arial" w:hAnsi="Arial"/>
                <w:color w:val="000000"/>
                <w:sz w:val="20.0"/>
                <w:spacing w:val="-2"/>
              </w:rPr>
              <w:t xml:space="preserve">Уровень качества жизни населения</w:t>
            </w:r>
          </w:p>
        </w:tc>
      </w:tr>
      <w:tr>
        <w:trPr>
          <w:trHeight w:hRule="exact" w:val="1891"/>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16</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Естественный прирост населения</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промилле</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-4.3</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-7.08</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-3.1</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Повышение уровня смертности (коэффицент общей смертности 17,23, всего умерших 2245 человек).                     Рост смертности от новой коронавирусной инфекции, болезней органов дыханий, онкопатологий, рост смертности  от ССЗ.                Отказ жителей района от посещения медицинских ораганизаций в связи с боязнью инфицирования новой коронавирусной инфекцией.  </w:t>
            </w:r>
          </w:p>
        </w:tc>
      </w:tr>
      <w:tr>
        <w:trPr>
          <w:trHeight w:hRule="exact" w:val="1906"/>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865"/>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17</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Количество семей в муниципальном образовании области, построивших индивидуальный жилой дом за счет собственных и заемных средств</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единица</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2280</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2655</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2655</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2020 г. введено - 365745 кв. м. жилья: из них 316749 кв. м. индивидуального жилья.  Количество семей построивших ИЖС  за счет собственных и заемных средств снизилось по отношению  к прошлому году в связи с тем, что уменьшился спрос на приобретение земельных участников у основного бенефициара АО «БИК», распространением новой коронавирусной инфекции (уменьшение количества строительных бригад, увеличение стоимости строительных материалов, выполнения строительных работ.)  Планируемый ввод жилья на  2022 г. - 404500 кв. м.</w:t>
            </w:r>
          </w:p>
        </w:tc>
      </w:tr>
      <w:tr>
        <w:trPr>
          <w:trHeight w:hRule="exact" w:val="2866"/>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1547"/>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18</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Количество благоустроенных территорий</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единица</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2021 году муниципальный район «Белгородский район» Белгородской области не участвовал в реализации муниципальной программы «Формирование современной городской среды на территории Белгородского района» (федеральный проект «Комфортная городская среда»)</w:t>
            </w:r>
          </w:p>
        </w:tc>
      </w:tr>
      <w:tr>
        <w:trPr>
          <w:trHeight w:hRule="exact" w:val="1533"/>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866"/>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19</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населения, обеспеченного качественной питьевой водой из систем централизованного водоснабжения</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68.76</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68.29</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68.69</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На повышение качества водоснабжения населения Белгородского района в 2021 году было направлено 295,9 млн.руб. в рамках реализации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Белгородской области от 28.10.2013 №441-пп. В том числе выполнена поставка станций водоподготовки и оборудования для очистки воды в 5 населенных пунктах: с.Никольское, с.Беломестное, с.Нелидовка, с.Головино, с.Веселая Лопань.</w:t>
            </w:r>
          </w:p>
        </w:tc>
      </w:tr>
      <w:tr>
        <w:trPr>
          <w:trHeight w:hRule="exact" w:val="1877"/>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1877"/>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865"/>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20</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Объем недостаточно очищенных сточных вод</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млн куб. метров</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0.0</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0.02</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0.02</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целях снижения показателя недостаточно очищенных сточных вод на территории Белгородского района в 2021 году в рамках реализации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Белгородской области от 28.10.2013 №441-пп выполнены проектно-изыскательские работы по строительству и реконструкции очистных сооружений хозяйственно-бытовых сточных вод в с.Таврово (производительностью 800 куб. м/сут.); в п.Политотдельский (производительностью 600 куб. м/сут.); Стрелецкого сельского поселения (производительностью 1200 куб. м/сут.).</w:t>
            </w:r>
          </w:p>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2022 на всех вышеуказанных объектах планируется выполнение строительно-монтажных работ."</w:t>
            </w:r>
          </w:p>
        </w:tc>
      </w:tr>
      <w:tr>
        <w:trPr>
          <w:trHeight w:hRule="exact" w:val="2766"/>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765"/>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006"/>
        </w:trPr>
        <w:tc>
          <w:tcPr>
            <w:tcW w:type="dxa" w:w="559"/>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21</w:t>
            </w:r>
          </w:p>
        </w:tc>
        <w:tc>
          <w:tcPr>
            <w:tcW w:type="dxa" w:w="339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мест (площадок) накопления твердых коммунальных отходов, оборудованных твердым основанием</w:t>
            </w:r>
          </w:p>
        </w:tc>
        <w:tc>
          <w:tcPr>
            <w:tcW w:type="dxa" w:w="100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23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36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690"/>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Целевое значение показателя достигнуто. Количество обустроенных площадок накопления ТКО соответствует количеству мест для их размещения на территории Белгородского района</w:t>
            </w:r>
          </w:p>
        </w:tc>
      </w:tr>
      <w:tr>
        <w:trPr>
          <w:trHeight w:hRule="exact" w:val="1719"/>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22</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Количество граждан, занимающихся добровольческой (волонтерской) деятельностью</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единица</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17038</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10400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Мониторинг осуществляется с 2021 года. Значение целевого показателя достигнуто за счёт привлечения волонтеров (добровольцев) в организацию и проведение мероприятий на территории Белгородского района.  Регистрация волонтеров (добровольцев)  осуществлена  на портале dobro.ru</w:t>
            </w:r>
          </w:p>
        </w:tc>
      </w:tr>
      <w:tr>
        <w:trPr>
          <w:trHeight w:hRule="exact" w:val="1720"/>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006"/>
        </w:trPr>
        <w:tc>
          <w:tcPr>
            <w:tcW w:type="dxa" w:w="559"/>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23</w:t>
            </w:r>
          </w:p>
        </w:tc>
        <w:tc>
          <w:tcPr>
            <w:tcW w:type="dxa" w:w="339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загруженности имеющихся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организациях (в том числе во внеурочное время), физкультурно-оздоровительных комплексов, бассейнов, ледовых арен и других спортивных сооружений</w:t>
            </w:r>
          </w:p>
        </w:tc>
        <w:tc>
          <w:tcPr>
            <w:tcW w:type="dxa" w:w="100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81.0</w:t>
            </w:r>
          </w:p>
        </w:tc>
        <w:tc>
          <w:tcPr>
            <w:tcW w:type="dxa" w:w="123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89.0</w:t>
            </w:r>
          </w:p>
        </w:tc>
        <w:tc>
          <w:tcPr>
            <w:tcW w:type="dxa" w:w="136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58</w:t>
            </w:r>
          </w:p>
        </w:tc>
        <w:tc>
          <w:tcPr>
            <w:tcW w:type="dxa" w:w="1690"/>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Показатель достигнут за счёт организации и проведения физкультурно-массовых, спортивных и дополнительных мероприятий  в рамках сдачи нормативов ВФСК «ГТО».  </w:t>
            </w:r>
          </w:p>
        </w:tc>
      </w:tr>
      <w:tr>
        <w:trPr>
          <w:trHeight w:hRule="exact" w:val="2421"/>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24</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посещений культурных мероприятий</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200</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100.66</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Мониторинг осуществляется с 2021 года. Показатель достигнут за счет выполнения нормативов,  согласно методическим рекомендациям № 401-пп от 13.11.2017 г. Постановление Правительства Белгородской области "Об утверждении методических рекомендаций по развитию сети организаций культуры и обеспечению населения Белгородской области организациями культуры", а также, за счет строительства ЦКР в с. Таврово и строительства Бессоновской ДШИ</w:t>
            </w:r>
          </w:p>
        </w:tc>
      </w:tr>
      <w:tr>
        <w:trPr>
          <w:trHeight w:hRule="exact" w:val="2422"/>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458"/>
        </w:trPr>
        <w:tc>
          <w:tcPr>
            <w:tcW w:type="dxa" w:w="10717"/>
            <w:gridSpan w:val="9"/>
            <w:tcMar>
              <w:top w:type="dxa" w:w="29"/>
              <w:left w:type="dxa" w:w="29"/>
              <w:right w:type="dxa" w:w="29"/>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jc w:val="center"/>
              <w:rPr>
                <w:rFonts w:ascii="Arial" w:cs="Arial" w:eastAsia="Arial" w:hAnsi="Arial"/>
                <w:b/>
                <w:color w:val="000000"/>
                <w:sz w:val="20.0"/>
                <w:spacing w:val="-2"/>
              </w:rPr>
            </w:pPr>
            <w:r>
              <w:rPr>
                <w:rFonts w:ascii="Arial" w:cs="Arial" w:eastAsia="Arial" w:hAnsi="Arial"/>
                <w:b/>
                <w:color w:val="000000"/>
                <w:sz w:val="20.0"/>
                <w:spacing w:val="-2"/>
              </w:rPr>
              <w:t xml:space="preserve">ТИПОВЫЕ КПЭ</w:t>
            </w:r>
          </w:p>
        </w:tc>
      </w:tr>
      <w:tr>
        <w:trPr>
          <w:trHeight w:hRule="exact" w:val="1533"/>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25</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Уровень эффективности реализации портфеля проектов (≤ 1)</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коэффициент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0.74</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Значение показателя не достигнуто по причине нарушения регламентированных сроков по разработке проектов. Несвоевременное исполнение структурными подразделениями администрации Белгородского района и подведомственными ей учреждениями работ и процессов в рамках проектов.</w:t>
            </w:r>
          </w:p>
        </w:tc>
      </w:tr>
      <w:tr>
        <w:trPr>
          <w:trHeight w:hRule="exact" w:val="1533"/>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866"/>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26</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инициированных проектов структурными подразделениями (управлениями, комитетами) администраций городских округов и муниципальных районов с последующей их реализацией за отчетный год</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157</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530.77</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100.00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Ежемесячное информирование руководителей структурных подразделений администрации Белгородского района о сроках инициации проектов, включенных в портфель администрации Белгородского района.  Еженедельное информирование главы администрации Белгородского района и руководителей структурных подразделений администрации Белгородского района об имеющихся отклонениях в ходе реализации проекта.  Осуществление индивидуальных консультаций по вопросам, возникающим в ходе разработки и реализации проектов (по телефону, в виде рабочих совещаний, посредством электронной почты)</w:t>
            </w:r>
          </w:p>
        </w:tc>
      </w:tr>
      <w:tr>
        <w:trPr>
          <w:trHeight w:hRule="exact" w:val="1791"/>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1791"/>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945"/>
        </w:trPr>
        <w:tc>
          <w:tcPr>
            <w:tcW w:type="dxa" w:w="559"/>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27</w:t>
            </w:r>
          </w:p>
        </w:tc>
        <w:tc>
          <w:tcPr>
            <w:tcW w:type="dxa" w:w="339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Создание муниципальным образованием области, участвующим в реализации программы «Эффективный регион», образца лучших практик федерального уровня к 1 декабря 2020 года</w:t>
            </w:r>
          </w:p>
        </w:tc>
        <w:tc>
          <w:tcPr>
            <w:tcW w:type="dxa" w:w="100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единица</w:t>
            </w:r>
          </w:p>
        </w:tc>
        <w:tc>
          <w:tcPr>
            <w:tcW w:type="dxa" w:w="147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w:t>
            </w:r>
          </w:p>
        </w:tc>
        <w:tc>
          <w:tcPr>
            <w:tcW w:type="dxa" w:w="123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w:t>
            </w:r>
          </w:p>
        </w:tc>
        <w:tc>
          <w:tcPr>
            <w:tcW w:type="dxa" w:w="136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p>
        </w:tc>
        <w:tc>
          <w:tcPr>
            <w:tcW w:type="dxa" w:w="1690"/>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Белгородский район не участвует в программе эффективный регион</w:t>
            </w:r>
          </w:p>
        </w:tc>
      </w:tr>
      <w:tr>
        <w:trPr>
          <w:trHeight w:hRule="exact" w:val="1720"/>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28</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реализующихся бережливых проектов в отчетном году</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507.69</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100.00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Значение показателя превышает нормативное в связи с увеличением количества реализуемых бережливых проектов.Осуществление индивидуальных консультаций по вопросам, возникающим в ходе реализации бережливых проектов (по телефону, в виде рабочих совещаний, посредством электронной почты).</w:t>
            </w:r>
          </w:p>
        </w:tc>
      </w:tr>
      <w:tr>
        <w:trPr>
          <w:trHeight w:hRule="exact" w:val="1705"/>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865"/>
        </w:trPr>
        <w:tc>
          <w:tcPr>
            <w:tcW w:type="dxa" w:w="559"/>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29</w:t>
            </w:r>
          </w:p>
        </w:tc>
        <w:tc>
          <w:tcPr>
            <w:tcW w:type="dxa" w:w="339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Удельный вес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(в сопоставимых условиях)</w:t>
            </w:r>
          </w:p>
        </w:tc>
        <w:tc>
          <w:tcPr>
            <w:tcW w:type="dxa" w:w="100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w:t>
            </w:r>
          </w:p>
        </w:tc>
        <w:tc>
          <w:tcPr>
            <w:tcW w:type="dxa" w:w="1476"/>
            <w:gridSpan w:val="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32.6</w:t>
            </w:r>
          </w:p>
        </w:tc>
        <w:tc>
          <w:tcPr>
            <w:tcW w:type="dxa" w:w="123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30.51</w:t>
            </w:r>
          </w:p>
        </w:tc>
        <w:tc>
          <w:tcPr>
            <w:tcW w:type="dxa" w:w="1362"/>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20</w:t>
            </w:r>
          </w:p>
        </w:tc>
        <w:tc>
          <w:tcPr>
            <w:tcW w:type="dxa" w:w="1690"/>
            <w:vMerge w:val="restart"/>
            <w:tcMar>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Удельный вес налоговых и неналоговых доходов за отчетный год к удельному весу целевого значения возрос в связи с увеличением объема налоговых и неналоговых доходов. Основной рост сложился по НДФЛ за счет создания рабочих мест, проводимых мероприятий по легализации и росту заработной платы, поступления разовых платежей по налогу на доходы физических лиц от продажи имущества. Удельный вес налоговых и неналоговых доходов за 2021 год к значению КЭП за год предшествующему отчетному снизился на 2,1 % в связи с увеличением безвозмездных поступлений в бюджет. Налоговые и неналоговые поступления  (в сопоставимых условиях) в 2021 году возросли на 197,9 млн. рублей или 10,3%.</w:t>
            </w:r>
          </w:p>
        </w:tc>
      </w:tr>
      <w:tr>
        <w:trPr>
          <w:trHeight w:hRule="exact" w:val="2150"/>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149"/>
        </w:trPr>
        <w:tc>
          <w:tcPr>
            <w:tcW w:type="dxa" w:w="559"/>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339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00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476"/>
            <w:gridSpan w:val="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23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362"/>
            <w:vMerge/>
            <w:vAlign w:val="center"/>
            <w:tcBorders>
              <w:top w:color="000000" w:space="0" w:sz="5" w:val="single"/>
              <w:left w:color="000000" w:space="0" w:sz="5" w:val="single"/>
              <w:bottom w:color="000000" w:space="0" w:sz="5" w:val="single"/>
              <w:right w:color="000000" w:space="0" w:sz="5" w:val="single"/>
            </w:tcBorders>
            <w:shd w:color="auto" w:fill="FFFFFF" w:val="clear"/>
          </w:tcPr>
          <w:p/>
        </w:tc>
        <w:tc>
          <w:tcPr>
            <w:tcW w:type="dxa" w:w="1690"/>
            <w:vMerge/>
            <w:vAlign w:val="center"/>
            <w:tcBorders>
              <w:top w:color="000000" w:space="0" w:sz="5" w:val="single"/>
              <w:left w:color="000000" w:space="0" w:sz="5" w:val="single"/>
              <w:bottom w:color="000000" w:space="0" w:sz="5" w:val="single"/>
              <w:right w:color="000000" w:space="0" w:sz="5" w:val="single"/>
            </w:tcBorders>
            <w:shd w:color="auto" w:fill="FFFFFF" w:val="clear"/>
          </w:tcPr>
          <w:p/>
        </w:tc>
      </w:tr>
      <w:tr>
        <w:trPr>
          <w:trHeight w:hRule="exact" w:val="2364"/>
        </w:trPr>
        <w:tc>
          <w:tcPr>
            <w:tcW w:type="dxa" w:w="559"/>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30</w:t>
            </w:r>
          </w:p>
        </w:tc>
        <w:tc>
          <w:tcPr>
            <w:tcW w:type="dxa" w:w="339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жителей муниципального образования области, принявших</w:t>
            </w:r>
          </w:p>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в отчетном году участие в опросах населения с применением IT-технологий</w:t>
            </w:r>
          </w:p>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по оценке эффективности деятельности руководителей органов местного самоуправления и организаций</w:t>
            </w:r>
          </w:p>
        </w:tc>
        <w:tc>
          <w:tcPr>
            <w:tcW w:type="dxa" w:w="100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w:t>
            </w:r>
          </w:p>
        </w:tc>
        <w:tc>
          <w:tcPr>
            <w:tcW w:type="dxa" w:w="123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19.38</w:t>
            </w:r>
          </w:p>
        </w:tc>
        <w:tc>
          <w:tcPr>
            <w:tcW w:type="dxa" w:w="136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20</w:t>
            </w:r>
          </w:p>
        </w:tc>
        <w:tc>
          <w:tcPr>
            <w:tcW w:type="dxa" w:w="1690"/>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Мониторинг осуществляется с 2021 года. Уменьшение показателя связано с ухудшением эпидемиологической ситуации на территории Белгородского района, что отразилось прежде всего на социальной сфере </w:t>
            </w:r>
          </w:p>
        </w:tc>
      </w:tr>
      <w:tr>
        <w:trPr>
          <w:trHeight w:hRule="exact" w:val="1476"/>
        </w:trPr>
        <w:tc>
          <w:tcPr>
            <w:tcW w:type="dxa" w:w="559"/>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31</w:t>
            </w:r>
          </w:p>
        </w:tc>
        <w:tc>
          <w:tcPr>
            <w:tcW w:type="dxa" w:w="339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Доля автоматизированных рабочих мест сотрудников администрации муниципального образования области, оснащенных в полном объёме отечественным программным обеспечением в отчетном году</w:t>
            </w:r>
          </w:p>
        </w:tc>
        <w:tc>
          <w:tcPr>
            <w:tcW w:type="dxa" w:w="100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процент</w:t>
            </w:r>
          </w:p>
        </w:tc>
        <w:tc>
          <w:tcPr>
            <w:tcW w:type="dxa" w:w="1476"/>
            <w:gridSpan w:val="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0</w:t>
            </w:r>
          </w:p>
        </w:tc>
        <w:tc>
          <w:tcPr>
            <w:tcW w:type="dxa" w:w="123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40</w:t>
            </w:r>
          </w:p>
        </w:tc>
        <w:tc>
          <w:tcPr>
            <w:tcW w:type="dxa" w:w="1362"/>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40</w:t>
            </w:r>
          </w:p>
        </w:tc>
        <w:tc>
          <w:tcPr>
            <w:tcW w:type="dxa" w:w="1690"/>
            <w:tcMar>
              <w:top w:type="dxa" w:w="72"/>
              <w:left w:type="dxa" w:w="72"/>
              <w:right w:type="dxa" w:w="72"/>
            </w:tcMar>
            <w:vAlign w:val="center"/>
            <w:tcBorders>
              <w:top w:color="000000" w:space="0" w:sz="5" w:val="single"/>
              <w:left w:color="000000" w:space="0" w:sz="5" w:val="single"/>
              <w:bottom w:color="000000" w:space="0" w:sz="5" w:val="single"/>
              <w:right w:color="000000" w:space="0" w:sz="5" w:val="single"/>
            </w:tcBorders>
            <w:shd w:color="auto" w:fill="FFFFFF" w:val="clear"/>
          </w:tcPr>
          <w:p>
            <w:pPr>
              <w:spacing w:line="226"/>
              <w:rPr>
                <w:rFonts w:ascii="Times New Roman" w:cs="Times New Roman" w:eastAsia="Times New Roman" w:hAnsi="Times New Roman"/>
                <w:color w:val="000000"/>
                <w:sz w:val="16.0"/>
                <w:spacing w:val="-2"/>
              </w:rPr>
            </w:pPr>
            <w:r>
              <w:rPr>
                <w:rFonts w:ascii="Times New Roman" w:cs="Times New Roman" w:eastAsia="Times New Roman" w:hAnsi="Times New Roman"/>
                <w:color w:val="000000"/>
                <w:sz w:val="16.0"/>
                <w:spacing w:val="-2"/>
              </w:rPr>
              <w:t xml:space="preserve">Мониторинг осуществляется с 2021 года. Приобретено 56 комплектов офисного отечественного программного обеспечения.</w:t>
            </w:r>
          </w:p>
        </w:tc>
      </w:tr>
    </w:tbl>
    <w:sectPr>
      <w:pgSz w:h="16838" w:w="11906"/>
      <w:pgMar w:bottom="517" w:footer="517" w:gutter="0" w:header="567" w:left="567" w:right="567" w:top="567"/>
    </w:sectPr>
  </w:body>
</w:document>
</file>

<file path=word/fontTable.xml><?xml version="1.0" encoding="utf-8"?>
<w:fonts xmlns:r="http://schemas.openxmlformats.org/officeDocument/2006/relationships" xmlns:w="http://schemas.openxmlformats.org/wordprocessingml/2006/main">
  <w:font w:name="Cambria"/>
  <w:font w:name="Calibri"/>
  <w:font w:name="Times New Roman"/>
  <w:font w:name="Arial"/>
</w:font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proofState w:grammar="clean" w:spelling="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EN"/>
  <w:clrSchemeMapping w:accent1="accent1" w:accent2="accent2" w:accent3="accent3" w:accent4="accent4" w:accent5="accent5" w:accent6="accent6" w:bg1="light1" w:bg2="light2" w:followedHyperlink="followedHyperlink" w:hyperlink="hyperlink" w:t1="dark1" w:t2="dark2"/>
  <w:shapeDefaults>
    <o:shapedefaults spidmax="2050"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style w:default="1" w:styleId="a" w:type="paragraph">
    <w:name w:val="Normal"/>
    <w:qFormat/>
    <w:pPr>
      <w:spacing w:after="0" w:line="240" w:lineRule="auto"/>
    </w:pPr>
    <w:rPr>
      <w:sz w:val="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0"/>
        <w:bottom w:type="dxa" w:w="0"/>
        <w:right w:type="dxa" w:w="0"/>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docProps/app.xml><?xml version="1.0" encoding="utf-8"?>
<Properties xmlns="http://schemas.openxmlformats.org/officeDocument/2006/extended-properties" xmlns:vt="http://schemas.openxmlformats.org/officeDocument/2006/docPropsVTypes">
  <Application>Microsoft Office Word</Application>
  <Company>2020.2.1 from 03 February 2020, Java</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Типовая форма доклада (Региональный сбор)</dc:title>
  <dc:subject>Типовая форма доклада (Региональный сбор)</dc:subject>
  <dc:creator/>
  <cp:keywords/>
  <dc:description/>
  <cp:lastModifiedBy>2020.2.1 from 03 February 2020, Java</cp:lastModifiedBy>
  <cp:revision>1</cp:revision>
  <dcterms:created xsi:type="dcterms:W3CDTF">2022-04-13T10:24:36Z</dcterms:created>
  <dcterms:modified xsi:type="dcterms:W3CDTF">2022-04-13T10:24:36Z</dcterms:modified>
</cp:coreProperties>
</file>