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1/</w:t>
      </w:r>
      <w:r>
        <w:rPr>
          <w:rFonts w:ascii="Times New Roman" w:hAnsi="Times New Roman" w:cs="Times New Roman"/>
          <w:b/>
          <w:sz w:val="28"/>
          <w:szCs w:val="28"/>
        </w:rPr>
        <w:t xml:space="preserve">03.06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/>
    </w:p>
    <w:p>
      <w:pPr>
        <w:pStyle w:val="884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заявок 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участие в конкурсе 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право заключения договор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предоставление ярмарочн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для организации торговых мест на территории муниципального района</w:t>
      </w:r>
      <w:r/>
    </w:p>
    <w:p>
      <w:pPr>
        <w:pStyle w:val="884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«Белгородский район»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Белгород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 июня 2024 г.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конкурса:</w:t>
      </w:r>
      <w:r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администрации Белгородского района.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нахождения</w:t>
      </w:r>
      <w:r>
        <w:rPr>
          <w:rStyle w:val="888"/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308007, г. Белгород, ул. </w:t>
      </w:r>
      <w:r>
        <w:rPr>
          <w:rFonts w:ascii="Times New Roman" w:hAnsi="Times New Roman" w:cs="Times New Roman"/>
          <w:sz w:val="28"/>
          <w:szCs w:val="28"/>
        </w:rPr>
        <w:t xml:space="preserve">Шершнёва</w:t>
      </w:r>
      <w:r>
        <w:rPr>
          <w:rFonts w:ascii="Times New Roman" w:hAnsi="Times New Roman" w:cs="Times New Roman"/>
          <w:sz w:val="28"/>
          <w:szCs w:val="28"/>
        </w:rPr>
        <w:t xml:space="preserve">, 1-а.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июня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-00 часов (время московское).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308007, г. Белгород, ул. </w:t>
      </w:r>
      <w:r>
        <w:rPr>
          <w:rFonts w:ascii="Times New Roman" w:hAnsi="Times New Roman" w:cs="Times New Roman"/>
          <w:sz w:val="28"/>
          <w:szCs w:val="28"/>
        </w:rPr>
        <w:t xml:space="preserve">Шершнёва</w:t>
      </w:r>
      <w:r>
        <w:rPr>
          <w:rFonts w:ascii="Times New Roman" w:hAnsi="Times New Roman" w:cs="Times New Roman"/>
          <w:sz w:val="28"/>
          <w:szCs w:val="28"/>
        </w:rPr>
        <w:t xml:space="preserve">, 1-а.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+7(4722)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26-39-51.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Белгородского района по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открытого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право заключения договора на предоставление ярмарочной площадки для организации торговых мест на территории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составе: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Комиссии: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Д.А. Калиниченко – начальник отдела инвестиционной политики комитета экономического развития администрации Белгородского района.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Зуева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-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потребительского рынка комитета экономического развития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Белгородского района.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Галыгин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района –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строительства администрации 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Ю.Н. Юдина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продаж управления земельных отношений комитета имущественных и земельных отношений администрации Белгородского района;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М.Н. Гордиенко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инвестиционной политики комитета экономического развития администрации Белгородского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йдалов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главный специалист отдела по взаимодействию                                                       с правоохранительными органами комитета по обеспечению безопасности администрации Белгородского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претендентов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ярмарочн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 для организации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объявлению, размещённому на официальном сайте органов местного самоуправления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https://belgorodskij-r31.gosweb.gosuslugi.ru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назначенного на </w:t>
      </w:r>
      <w:r>
        <w:rPr>
          <w:rFonts w:ascii="Times New Roman" w:hAnsi="Times New Roman" w:cs="Times New Roman"/>
          <w:sz w:val="28"/>
          <w:szCs w:val="28"/>
        </w:rPr>
        <w:t xml:space="preserve">7 июня 2024 года.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Рассмотрела: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Пакет документов по Лоту № 1 на заключение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площадью территории согласно </w:t>
      </w:r>
      <w:r>
        <w:rPr>
          <w:rFonts w:ascii="Times New Roman" w:hAnsi="Times New Roman" w:cs="Times New Roman"/>
          <w:sz w:val="28"/>
          <w:szCs w:val="28"/>
        </w:rPr>
        <w:t xml:space="preserve">заявленной концепции оформления торговых мест по адресу: Белгородский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Майский, </w:t>
      </w:r>
      <w:r>
        <w:rPr>
          <w:rFonts w:ascii="Times New Roman" w:hAnsi="Times New Roman" w:cs="Times New Roman"/>
          <w:sz w:val="28"/>
          <w:szCs w:val="28"/>
        </w:rPr>
        <w:t xml:space="preserve">мкр</w:t>
      </w:r>
      <w:r>
        <w:rPr>
          <w:rFonts w:ascii="Times New Roman" w:hAnsi="Times New Roman" w:cs="Times New Roman"/>
          <w:sz w:val="28"/>
          <w:szCs w:val="28"/>
        </w:rPr>
        <w:t xml:space="preserve">. Майский-8, перекресток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-т 50-летия Белгородской области и пер. 3-й Невский</w:t>
      </w: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Поступила 1 заявка от ООО «СЛАВЯНСКАЯ ЯРМАРКА».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Пакет документов по Лоту № 2 на заключение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Никольское, </w:t>
      </w:r>
      <w:r>
        <w:rPr>
          <w:rFonts w:ascii="Times New Roman" w:hAnsi="Times New Roman"/>
          <w:sz w:val="28"/>
          <w:szCs w:val="28"/>
        </w:rPr>
        <w:t xml:space="preserve">мкр</w:t>
      </w:r>
      <w:r>
        <w:rPr>
          <w:rFonts w:ascii="Times New Roman" w:hAnsi="Times New Roman"/>
          <w:sz w:val="28"/>
          <w:szCs w:val="28"/>
        </w:rPr>
        <w:t xml:space="preserve">. Никольский-25, ул. Студенческая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районе офиса семейного врача)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Поступила 1 заявка от ООО «СЛАВЯНСКАЯ ЯРМАРКА».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Пакет документов по Лоту № 3 на заключение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Таврово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мкр</w:t>
      </w:r>
      <w:r>
        <w:rPr>
          <w:rFonts w:ascii="Times New Roman" w:hAnsi="Times New Roman"/>
          <w:sz w:val="28"/>
          <w:szCs w:val="28"/>
        </w:rPr>
        <w:t xml:space="preserve">. Таврово-10,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ул. Большая Кольцевая (в районе д. № 35)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Поступила 1 заявка от ООО «СЛАВЯНСКАЯ ЯРМАРКА».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По Лоту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2, 3</w:t>
      </w:r>
      <w:r>
        <w:rPr>
          <w:rFonts w:ascii="Times New Roman" w:hAnsi="Times New Roman" w:cs="Times New Roman"/>
          <w:sz w:val="28"/>
          <w:szCs w:val="28"/>
        </w:rPr>
        <w:t xml:space="preserve"> допустить к участию в конкурсе и признать участником конкурса претендента на участие в конкурсе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ярмарочн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 для организации торговых мест на территории муниципального района «Белгородский район» Белгородской области ООО «СЛАВЯНСКАЯ ЯРМАРКА».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44"/>
        <w:gridCol w:w="3164"/>
        <w:gridCol w:w="3230"/>
      </w:tblGrid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Комиссии</w:t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Калиниченко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Комиссии</w:t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Н.Н. Зуева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</w:t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Галыгин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М.Н. Гордиенко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Ю.Н. Юдина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W w:w="33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Кайдалов</w:t>
            </w:r>
            <w:r/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5191236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3"/>
    <w:next w:val="883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5"/>
    <w:link w:val="710"/>
    <w:uiPriority w:val="9"/>
    <w:rPr>
      <w:rFonts w:ascii="Arial" w:hAnsi="Arial" w:eastAsia="Arial" w:cs="Arial"/>
      <w:sz w:val="40"/>
      <w:szCs w:val="40"/>
    </w:rPr>
  </w:style>
  <w:style w:type="character" w:styleId="712">
    <w:name w:val="Heading 2 Char"/>
    <w:basedOn w:val="885"/>
    <w:link w:val="884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basedOn w:val="885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basedOn w:val="885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basedOn w:val="885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5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basedOn w:val="885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3"/>
    <w:next w:val="883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basedOn w:val="88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3"/>
    <w:next w:val="88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basedOn w:val="885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3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3"/>
    <w:next w:val="883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3"/>
    <w:next w:val="883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3"/>
    <w:next w:val="883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3"/>
    <w:next w:val="883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5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5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2"/>
    <w:basedOn w:val="883"/>
    <w:next w:val="883"/>
    <w:link w:val="888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character" w:styleId="888" w:customStyle="1">
    <w:name w:val="Заголовок 2 Знак"/>
    <w:basedOn w:val="885"/>
    <w:link w:val="884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89">
    <w:name w:val="Hyperlink"/>
    <w:basedOn w:val="885"/>
    <w:uiPriority w:val="99"/>
    <w:unhideWhenUsed/>
    <w:rPr>
      <w:color w:val="0563c1" w:themeColor="hyperlink"/>
      <w:u w:val="single"/>
    </w:rPr>
  </w:style>
  <w:style w:type="paragraph" w:styleId="890">
    <w:name w:val="Header"/>
    <w:basedOn w:val="883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85"/>
    <w:link w:val="890"/>
    <w:uiPriority w:val="99"/>
  </w:style>
  <w:style w:type="paragraph" w:styleId="892">
    <w:name w:val="Footer"/>
    <w:basedOn w:val="883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85"/>
    <w:link w:val="892"/>
    <w:uiPriority w:val="99"/>
  </w:style>
  <w:style w:type="paragraph" w:styleId="894">
    <w:name w:val="Balloon Text"/>
    <w:basedOn w:val="883"/>
    <w:link w:val="8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885"/>
    <w:link w:val="894"/>
    <w:uiPriority w:val="99"/>
    <w:semiHidden/>
    <w:rPr>
      <w:rFonts w:ascii="Segoe UI" w:hAnsi="Segoe UI" w:cs="Segoe UI"/>
      <w:sz w:val="18"/>
      <w:szCs w:val="18"/>
    </w:rPr>
  </w:style>
  <w:style w:type="table" w:styleId="896">
    <w:name w:val="Table Grid"/>
    <w:basedOn w:val="8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Николаевна</dc:creator>
  <cp:keywords/>
  <dc:description/>
  <cp:revision>67</cp:revision>
  <dcterms:created xsi:type="dcterms:W3CDTF">2020-08-20T08:29:00Z</dcterms:created>
  <dcterms:modified xsi:type="dcterms:W3CDTF">2024-06-11T11:20:42Z</dcterms:modified>
</cp:coreProperties>
</file>