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D" w:rsidRPr="0062152F" w:rsidRDefault="006A78BD" w:rsidP="006215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ПРОТОКОЛ № 1/</w:t>
      </w:r>
      <w:r w:rsidR="00B457D5">
        <w:rPr>
          <w:rFonts w:ascii="Times New Roman" w:hAnsi="Times New Roman" w:cs="Times New Roman"/>
          <w:b/>
          <w:sz w:val="26"/>
          <w:szCs w:val="26"/>
        </w:rPr>
        <w:t>21</w:t>
      </w:r>
      <w:r w:rsidR="00A57DB5">
        <w:rPr>
          <w:rFonts w:ascii="Times New Roman" w:hAnsi="Times New Roman" w:cs="Times New Roman"/>
          <w:b/>
          <w:sz w:val="26"/>
          <w:szCs w:val="26"/>
        </w:rPr>
        <w:t>.1</w:t>
      </w:r>
      <w:r w:rsidR="00B457D5">
        <w:rPr>
          <w:rFonts w:ascii="Times New Roman" w:hAnsi="Times New Roman" w:cs="Times New Roman"/>
          <w:b/>
          <w:sz w:val="26"/>
          <w:szCs w:val="26"/>
        </w:rPr>
        <w:t>1</w:t>
      </w:r>
      <w:r w:rsidR="00B8704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44151" w:rsidRPr="0062152F" w:rsidRDefault="006A78BD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 xml:space="preserve">рассмотрения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заявок на </w:t>
      </w:r>
      <w:r w:rsidR="00946E75" w:rsidRPr="0062152F">
        <w:rPr>
          <w:rFonts w:ascii="Times New Roman" w:hAnsi="Times New Roman" w:cs="Times New Roman"/>
          <w:b/>
          <w:color w:val="auto"/>
        </w:rPr>
        <w:t xml:space="preserve">участие в конкурсе на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право заключения договора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на предоставление ярмарочной площадки для организации торговых мест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6A78BD" w:rsidRPr="0062152F" w:rsidRDefault="00A71093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944151" w:rsidRPr="0062152F" w:rsidRDefault="00944151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B87042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</w:t>
      </w:r>
      <w:r w:rsidR="00B457D5">
        <w:rPr>
          <w:rFonts w:ascii="Times New Roman" w:hAnsi="Times New Roman" w:cs="Times New Roman"/>
          <w:sz w:val="26"/>
          <w:szCs w:val="26"/>
        </w:rPr>
        <w:t xml:space="preserve">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</w:t>
      </w:r>
      <w:r w:rsidR="00B457D5">
        <w:rPr>
          <w:rFonts w:ascii="Times New Roman" w:hAnsi="Times New Roman" w:cs="Times New Roman"/>
          <w:sz w:val="26"/>
          <w:szCs w:val="26"/>
        </w:rPr>
        <w:t>21</w:t>
      </w:r>
      <w:r w:rsidR="00A57DB5">
        <w:rPr>
          <w:rFonts w:ascii="Times New Roman" w:hAnsi="Times New Roman" w:cs="Times New Roman"/>
          <w:sz w:val="26"/>
          <w:szCs w:val="26"/>
        </w:rPr>
        <w:t xml:space="preserve"> </w:t>
      </w:r>
      <w:r w:rsidR="00B457D5">
        <w:rPr>
          <w:rFonts w:ascii="Times New Roman" w:hAnsi="Times New Roman" w:cs="Times New Roman"/>
          <w:sz w:val="26"/>
          <w:szCs w:val="26"/>
        </w:rPr>
        <w:t>ноября</w:t>
      </w:r>
      <w:r w:rsidR="00B87042">
        <w:rPr>
          <w:rFonts w:ascii="Times New Roman" w:hAnsi="Times New Roman" w:cs="Times New Roman"/>
          <w:sz w:val="26"/>
          <w:szCs w:val="26"/>
        </w:rPr>
        <w:t xml:space="preserve"> 2022 г.</w:t>
      </w:r>
    </w:p>
    <w:p w:rsidR="006A78BD" w:rsidRPr="0062152F" w:rsidRDefault="006A78BD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62152F">
        <w:rPr>
          <w:rStyle w:val="20"/>
          <w:rFonts w:ascii="Times New Roman" w:hAnsi="Times New Roman" w:cs="Times New Roman"/>
        </w:rPr>
        <w:t>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A57DB5">
        <w:rPr>
          <w:rFonts w:ascii="Times New Roman" w:hAnsi="Times New Roman" w:cs="Times New Roman"/>
          <w:sz w:val="26"/>
          <w:szCs w:val="26"/>
        </w:rPr>
        <w:t xml:space="preserve">24 </w:t>
      </w:r>
      <w:r w:rsidR="00B457D5">
        <w:rPr>
          <w:rFonts w:ascii="Times New Roman" w:hAnsi="Times New Roman" w:cs="Times New Roman"/>
          <w:sz w:val="26"/>
          <w:szCs w:val="26"/>
        </w:rPr>
        <w:t>ноября</w:t>
      </w:r>
      <w:r w:rsidR="00B87042">
        <w:rPr>
          <w:rFonts w:ascii="Times New Roman" w:hAnsi="Times New Roman" w:cs="Times New Roman"/>
          <w:sz w:val="26"/>
          <w:szCs w:val="26"/>
        </w:rPr>
        <w:t xml:space="preserve"> 2022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C26E53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+7(4722)</w:t>
      </w:r>
      <w:r w:rsidR="00285FE2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26-39-51.</w:t>
      </w:r>
    </w:p>
    <w:p w:rsidR="006A78BD" w:rsidRPr="0062152F" w:rsidRDefault="00285FE2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</w:t>
      </w:r>
      <w:r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44151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52700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6A78BD" w:rsidRPr="0062152F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8F4287" w:rsidRPr="0062152F">
        <w:rPr>
          <w:rFonts w:ascii="Times New Roman" w:hAnsi="Times New Roman" w:cs="Times New Roman"/>
          <w:b/>
          <w:sz w:val="26"/>
          <w:szCs w:val="26"/>
        </w:rPr>
        <w:t>я</w:t>
      </w:r>
      <w:r w:rsidRPr="0062152F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</w:p>
    <w:p w:rsidR="006A78BD" w:rsidRPr="0062152F" w:rsidRDefault="00056728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–заместител</w:t>
      </w:r>
      <w:r w:rsidR="00C82888">
        <w:rPr>
          <w:rFonts w:ascii="Times New Roman" w:hAnsi="Times New Roman" w:cs="Times New Roman"/>
          <w:sz w:val="26"/>
          <w:szCs w:val="26"/>
        </w:rPr>
        <w:t>ь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 w:rsidR="00C82888">
        <w:rPr>
          <w:rFonts w:ascii="Times New Roman" w:hAnsi="Times New Roman" w:cs="Times New Roman"/>
          <w:sz w:val="26"/>
          <w:szCs w:val="26"/>
        </w:rPr>
        <w:t>ь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Н.Н.</w:t>
      </w:r>
      <w:r w:rsidR="00B905A3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Зуева – </w:t>
      </w:r>
      <w:r w:rsidR="00894681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bookmarkStart w:id="0" w:name="_GoBack"/>
      <w:bookmarkEnd w:id="0"/>
      <w:r w:rsidRPr="0062152F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8F4287" w:rsidRPr="0062152F" w:rsidRDefault="006A78BD" w:rsidP="00C9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366F85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62152F">
        <w:rPr>
          <w:rFonts w:ascii="Times New Roman" w:hAnsi="Times New Roman" w:cs="Times New Roman"/>
          <w:sz w:val="26"/>
          <w:szCs w:val="26"/>
        </w:rPr>
        <w:t>заместитель руководителя комитета -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комитета строительства администрации Белгородского района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 главный архитектор района;</w:t>
      </w:r>
      <w:r w:rsidR="008F4287" w:rsidRPr="0062152F">
        <w:rPr>
          <w:rFonts w:ascii="Times New Roman" w:hAnsi="Times New Roman" w:cs="Times New Roman"/>
          <w:sz w:val="26"/>
          <w:szCs w:val="26"/>
        </w:rPr>
        <w:tab/>
      </w:r>
    </w:p>
    <w:p w:rsidR="006A78BD" w:rsidRPr="0062152F" w:rsidRDefault="00366F8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 </w:t>
      </w:r>
      <w:r w:rsidR="007C51B8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6A78BD" w:rsidRPr="007A5F9B" w:rsidRDefault="006A78BD" w:rsidP="007A5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366F85" w:rsidRPr="007A5F9B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17F61">
        <w:rPr>
          <w:rFonts w:ascii="Times New Roman" w:hAnsi="Times New Roman" w:cs="Times New Roman"/>
          <w:sz w:val="26"/>
          <w:szCs w:val="26"/>
        </w:rPr>
        <w:t>Ка</w:t>
      </w:r>
      <w:r w:rsidR="00366F85" w:rsidRPr="007A5F9B">
        <w:rPr>
          <w:rFonts w:ascii="Times New Roman" w:hAnsi="Times New Roman" w:cs="Times New Roman"/>
          <w:sz w:val="26"/>
          <w:szCs w:val="26"/>
        </w:rPr>
        <w:t>йдалов</w:t>
      </w:r>
      <w:proofErr w:type="spellEnd"/>
      <w:r w:rsidRPr="007A5F9B">
        <w:rPr>
          <w:rFonts w:ascii="Times New Roman" w:hAnsi="Times New Roman" w:cs="Times New Roman"/>
          <w:sz w:val="26"/>
          <w:szCs w:val="26"/>
        </w:rPr>
        <w:t xml:space="preserve"> – </w:t>
      </w:r>
      <w:r w:rsidR="00366F85" w:rsidRP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  <w:r w:rsid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151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О допуске претендентов к участию в </w:t>
      </w:r>
      <w:r w:rsidR="0058096A" w:rsidRPr="0062152F">
        <w:rPr>
          <w:rFonts w:ascii="Times New Roman" w:hAnsi="Times New Roman" w:cs="Times New Roman"/>
          <w:sz w:val="26"/>
          <w:szCs w:val="26"/>
        </w:rPr>
        <w:t>конкурсе на право заключения договора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на предоставление ярмарочной площадки для организации торговых мест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территории муниципального района «Белгородский район» Белгородской области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согласно объявлению, размещённому на официальном сайте органов местного самоуправления муниципального района «Белгородский район» Белгородской области </w:t>
      </w:r>
      <w:r w:rsidR="001E4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E4866" w:rsidRPr="002A5B32">
        <w:rPr>
          <w:rFonts w:ascii="Times New Roman" w:hAnsi="Times New Roman"/>
          <w:sz w:val="27"/>
          <w:szCs w:val="27"/>
        </w:rPr>
        <w:t>https://belgo</w:t>
      </w:r>
      <w:r w:rsidR="001E4866">
        <w:rPr>
          <w:rFonts w:ascii="Times New Roman" w:hAnsi="Times New Roman"/>
          <w:sz w:val="27"/>
          <w:szCs w:val="27"/>
        </w:rPr>
        <w:t>rodskij-r31.gosweb.gosuslugi.ru</w:t>
      </w:r>
      <w:r w:rsidR="001E486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и назначенного на </w:t>
      </w:r>
      <w:r w:rsidR="005D6438">
        <w:rPr>
          <w:rFonts w:ascii="Times New Roman" w:hAnsi="Times New Roman" w:cs="Times New Roman"/>
          <w:sz w:val="26"/>
          <w:szCs w:val="26"/>
        </w:rPr>
        <w:t>2</w:t>
      </w:r>
      <w:r w:rsidR="00A57DB5">
        <w:rPr>
          <w:rFonts w:ascii="Times New Roman" w:hAnsi="Times New Roman" w:cs="Times New Roman"/>
          <w:sz w:val="26"/>
          <w:szCs w:val="26"/>
        </w:rPr>
        <w:t xml:space="preserve">4 </w:t>
      </w:r>
      <w:r w:rsidR="00B457D5">
        <w:rPr>
          <w:rFonts w:ascii="Times New Roman" w:hAnsi="Times New Roman" w:cs="Times New Roman"/>
          <w:sz w:val="26"/>
          <w:szCs w:val="26"/>
        </w:rPr>
        <w:t>ноября</w:t>
      </w:r>
      <w:r w:rsidR="0054723B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Рассмотрела:</w:t>
      </w:r>
    </w:p>
    <w:p w:rsidR="00A57DB5" w:rsidRPr="00B457D5" w:rsidRDefault="007C51B8" w:rsidP="00A57D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1. Пакет документов по Лоту № 1 на заключение договора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, площадью территории согласно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заявленной концепции оформления торговых мест по адресу: Белгородский </w:t>
      </w:r>
      <w:proofErr w:type="gramStart"/>
      <w:r w:rsidR="0058096A" w:rsidRPr="0062152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B457D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457D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7D5" w:rsidRPr="00B457D5">
        <w:rPr>
          <w:rFonts w:ascii="Times New Roman" w:hAnsi="Times New Roman"/>
          <w:sz w:val="26"/>
          <w:szCs w:val="26"/>
        </w:rPr>
        <w:t xml:space="preserve">с. Никольское, </w:t>
      </w:r>
      <w:proofErr w:type="spellStart"/>
      <w:r w:rsidR="00B457D5" w:rsidRPr="00B457D5">
        <w:rPr>
          <w:rFonts w:ascii="Times New Roman" w:hAnsi="Times New Roman"/>
          <w:sz w:val="26"/>
          <w:szCs w:val="26"/>
        </w:rPr>
        <w:t>мкр</w:t>
      </w:r>
      <w:proofErr w:type="spellEnd"/>
      <w:r w:rsidR="00B457D5" w:rsidRPr="00B457D5">
        <w:rPr>
          <w:rFonts w:ascii="Times New Roman" w:hAnsi="Times New Roman"/>
          <w:sz w:val="26"/>
          <w:szCs w:val="26"/>
        </w:rPr>
        <w:t>. Западный, ул. Коммерческая, в районе д. № 2</w:t>
      </w:r>
      <w:r w:rsidR="00B457D5">
        <w:rPr>
          <w:rFonts w:ascii="Times New Roman" w:hAnsi="Times New Roman"/>
          <w:sz w:val="26"/>
          <w:szCs w:val="26"/>
        </w:rPr>
        <w:t>.</w:t>
      </w:r>
    </w:p>
    <w:p w:rsidR="0054723B" w:rsidRPr="0054723B" w:rsidRDefault="0054723B" w:rsidP="005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lastRenderedPageBreak/>
        <w:t>Поступила 1 заявка от ООО «СЛАВЯНСКАЯ ЯРМАРКА».</w:t>
      </w:r>
    </w:p>
    <w:p w:rsidR="00A57DB5" w:rsidRPr="0062152F" w:rsidRDefault="006A78BD" w:rsidP="00B45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44151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. По Лоту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44151" w:rsidRPr="0062152F">
        <w:rPr>
          <w:rFonts w:ascii="Times New Roman" w:hAnsi="Times New Roman" w:cs="Times New Roman"/>
          <w:sz w:val="26"/>
          <w:szCs w:val="26"/>
        </w:rPr>
        <w:t>: допустить к участию в конкурсе и признать участником конкурса претендента на участие в конкурсе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 ООО «СЛАВЯНСКАЯ ЯРМАРКА».</w:t>
      </w:r>
    </w:p>
    <w:p w:rsidR="00B457D5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7D5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7D5" w:rsidRPr="0062152F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51FBB" w:rsidTr="00E56AF2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3398" w:type="dxa"/>
          </w:tcPr>
          <w:p w:rsidR="00951FBB" w:rsidRDefault="00E56AF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М.Н. Буданова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E56AF2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3398" w:type="dxa"/>
          </w:tcPr>
          <w:p w:rsidR="00951FBB" w:rsidRDefault="00E56AF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E56AF2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398" w:type="dxa"/>
          </w:tcPr>
          <w:p w:rsidR="00951FBB" w:rsidRDefault="00E56AF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B457D5" w:rsidRDefault="00B457D5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D5" w:rsidRDefault="00B457D5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E56AF2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E56AF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Ю.Н. Юдина</w:t>
            </w:r>
          </w:p>
          <w:p w:rsidR="00B457D5" w:rsidRDefault="00B457D5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E56AF2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E56AF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C93A95" w:rsidRPr="0062152F" w:rsidRDefault="00C93A95" w:rsidP="007C5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93A95" w:rsidRPr="0062152F" w:rsidSect="00621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3F" w:rsidRDefault="00642E3F" w:rsidP="00944151">
      <w:pPr>
        <w:spacing w:after="0" w:line="240" w:lineRule="auto"/>
      </w:pPr>
      <w:r>
        <w:separator/>
      </w:r>
    </w:p>
  </w:endnote>
  <w:endnote w:type="continuationSeparator" w:id="0">
    <w:p w:rsidR="00642E3F" w:rsidRDefault="00642E3F" w:rsidP="0094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3F" w:rsidRDefault="00642E3F" w:rsidP="00944151">
      <w:pPr>
        <w:spacing w:after="0" w:line="240" w:lineRule="auto"/>
      </w:pPr>
      <w:r>
        <w:separator/>
      </w:r>
    </w:p>
  </w:footnote>
  <w:footnote w:type="continuationSeparator" w:id="0">
    <w:p w:rsidR="00642E3F" w:rsidRDefault="00642E3F" w:rsidP="0094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9441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81">
          <w:rPr>
            <w:noProof/>
          </w:rPr>
          <w:t>2</w:t>
        </w:r>
        <w:r>
          <w:fldChar w:fldCharType="end"/>
        </w:r>
      </w:p>
    </w:sdtContent>
  </w:sdt>
  <w:p w:rsidR="00944151" w:rsidRDefault="009441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2"/>
    <w:rsid w:val="00056728"/>
    <w:rsid w:val="000B2E00"/>
    <w:rsid w:val="000F0C52"/>
    <w:rsid w:val="001118D8"/>
    <w:rsid w:val="00135B42"/>
    <w:rsid w:val="001B683A"/>
    <w:rsid w:val="001D34C7"/>
    <w:rsid w:val="001E4866"/>
    <w:rsid w:val="001E5A6D"/>
    <w:rsid w:val="00285FE2"/>
    <w:rsid w:val="002E6C86"/>
    <w:rsid w:val="0030641D"/>
    <w:rsid w:val="003322D8"/>
    <w:rsid w:val="00334B86"/>
    <w:rsid w:val="00366F85"/>
    <w:rsid w:val="004134E1"/>
    <w:rsid w:val="00423918"/>
    <w:rsid w:val="0043083D"/>
    <w:rsid w:val="0043440B"/>
    <w:rsid w:val="0047654D"/>
    <w:rsid w:val="00517F61"/>
    <w:rsid w:val="00527006"/>
    <w:rsid w:val="0054723B"/>
    <w:rsid w:val="0057471A"/>
    <w:rsid w:val="0058096A"/>
    <w:rsid w:val="005940FE"/>
    <w:rsid w:val="005A0491"/>
    <w:rsid w:val="005D6438"/>
    <w:rsid w:val="0062152F"/>
    <w:rsid w:val="00642E3F"/>
    <w:rsid w:val="0066616C"/>
    <w:rsid w:val="006A78BD"/>
    <w:rsid w:val="007457DA"/>
    <w:rsid w:val="007706BF"/>
    <w:rsid w:val="007A5F9B"/>
    <w:rsid w:val="007A7C7A"/>
    <w:rsid w:val="007C51B8"/>
    <w:rsid w:val="00805C03"/>
    <w:rsid w:val="00894681"/>
    <w:rsid w:val="008B3C8E"/>
    <w:rsid w:val="008F4287"/>
    <w:rsid w:val="0093224D"/>
    <w:rsid w:val="00944151"/>
    <w:rsid w:val="0094563E"/>
    <w:rsid w:val="00946E75"/>
    <w:rsid w:val="00951FBB"/>
    <w:rsid w:val="009C1256"/>
    <w:rsid w:val="00A01605"/>
    <w:rsid w:val="00A01961"/>
    <w:rsid w:val="00A57DB5"/>
    <w:rsid w:val="00A71093"/>
    <w:rsid w:val="00B457D5"/>
    <w:rsid w:val="00B87042"/>
    <w:rsid w:val="00B905A3"/>
    <w:rsid w:val="00C26E53"/>
    <w:rsid w:val="00C37F50"/>
    <w:rsid w:val="00C61C12"/>
    <w:rsid w:val="00C82888"/>
    <w:rsid w:val="00C85F50"/>
    <w:rsid w:val="00C93A95"/>
    <w:rsid w:val="00CE37D0"/>
    <w:rsid w:val="00D23DBF"/>
    <w:rsid w:val="00D94237"/>
    <w:rsid w:val="00DB4BA2"/>
    <w:rsid w:val="00DF162C"/>
    <w:rsid w:val="00E4597C"/>
    <w:rsid w:val="00E56AF2"/>
    <w:rsid w:val="00F1150A"/>
    <w:rsid w:val="00F26F97"/>
    <w:rsid w:val="00F45BE7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F213-4A69-4BBC-ADFC-CD1DA5F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BD"/>
  </w:style>
  <w:style w:type="paragraph" w:styleId="2">
    <w:name w:val="heading 2"/>
    <w:basedOn w:val="a"/>
    <w:next w:val="a"/>
    <w:link w:val="20"/>
    <w:uiPriority w:val="9"/>
    <w:unhideWhenUsed/>
    <w:qFormat/>
    <w:rsid w:val="006A7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A78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51"/>
  </w:style>
  <w:style w:type="paragraph" w:styleId="a6">
    <w:name w:val="footer"/>
    <w:basedOn w:val="a"/>
    <w:link w:val="a7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51"/>
  </w:style>
  <w:style w:type="paragraph" w:styleId="a8">
    <w:name w:val="Balloon Text"/>
    <w:basedOn w:val="a"/>
    <w:link w:val="a9"/>
    <w:uiPriority w:val="99"/>
    <w:semiHidden/>
    <w:unhideWhenUsed/>
    <w:rsid w:val="0066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6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5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48</cp:revision>
  <cp:lastPrinted>2022-11-28T10:35:00Z</cp:lastPrinted>
  <dcterms:created xsi:type="dcterms:W3CDTF">2020-08-20T08:29:00Z</dcterms:created>
  <dcterms:modified xsi:type="dcterms:W3CDTF">2022-11-28T10:37:00Z</dcterms:modified>
</cp:coreProperties>
</file>