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 w:rsidRPr="009D48AC">
        <w:rPr>
          <w:rFonts w:ascii="Liberation Serif" w:eastAsia="SimSun" w:hAnsi="Liberation Serif" w:cs="Times New Roman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723900" cy="918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48AC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</w:t>
      </w:r>
    </w:p>
    <w:p w:rsidR="001E3CE4" w:rsidRPr="001E3CE4" w:rsidRDefault="001E3CE4" w:rsidP="001E3CE4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40"/>
          <w:szCs w:val="40"/>
          <w:lang w:eastAsia="zh-CN" w:bidi="hi-IN"/>
        </w:rPr>
      </w:pPr>
      <w:r w:rsidRPr="001E3CE4">
        <w:rPr>
          <w:rFonts w:ascii="Liberation Serif" w:eastAsia="SimSun" w:hAnsi="Liberation Serif" w:cs="Times New Roman"/>
          <w:b/>
          <w:kern w:val="1"/>
          <w:sz w:val="40"/>
          <w:szCs w:val="40"/>
          <w:lang w:eastAsia="zh-CN" w:bidi="hi-IN"/>
        </w:rPr>
        <w:t>КОНТРОЛЬНО-СЧЁТНАЯ КОМИССИЯ</w:t>
      </w:r>
    </w:p>
    <w:p w:rsidR="001E3CE4" w:rsidRPr="001E3CE4" w:rsidRDefault="001E3CE4" w:rsidP="001E3CE4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36"/>
          <w:szCs w:val="36"/>
          <w:lang w:eastAsia="zh-CN" w:bidi="hi-IN"/>
        </w:rPr>
      </w:pPr>
      <w:r w:rsidRPr="001E3CE4">
        <w:rPr>
          <w:rFonts w:ascii="Liberation Serif" w:eastAsia="SimSun" w:hAnsi="Liberation Serif" w:cs="Times New Roman"/>
          <w:b/>
          <w:kern w:val="1"/>
          <w:sz w:val="36"/>
          <w:szCs w:val="36"/>
          <w:lang w:eastAsia="zh-CN" w:bidi="hi-IN"/>
        </w:rPr>
        <w:t xml:space="preserve"> БЕЛГОРОДСКОГО РАЙОНА </w:t>
      </w:r>
    </w:p>
    <w:p w:rsidR="009D48AC" w:rsidRPr="009D48AC" w:rsidRDefault="001E3CE4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 w:rsidRPr="001E3CE4">
        <w:rPr>
          <w:rFonts w:ascii="Liberation Serif" w:eastAsia="SimSun" w:hAnsi="Liberation Serif" w:cs="Times New Roman"/>
          <w:b/>
          <w:kern w:val="1"/>
          <w:sz w:val="30"/>
          <w:szCs w:val="30"/>
          <w:lang w:eastAsia="zh-CN" w:bidi="hi-IN"/>
        </w:rPr>
        <w:t xml:space="preserve">  </w:t>
      </w: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     </w:t>
      </w:r>
      <w:r w:rsidRPr="009D48AC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СТАНДАРТ № </w:t>
      </w:r>
      <w:r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>12</w:t>
      </w:r>
      <w:r w:rsidRPr="009D48AC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                                                                         </w:t>
      </w:r>
      <w:r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                          </w:t>
      </w:r>
      <w:r w:rsidRPr="009D48AC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>ОРГАНИЗАЦИИ ДЕЯТЕЛЬНОСТИ</w:t>
      </w: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ind w:left="-142" w:firstLine="142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  <w:r w:rsidRPr="009D48AC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СОД КРК № </w:t>
      </w:r>
      <w:r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>12</w:t>
      </w:r>
      <w:r w:rsidRPr="009D48AC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="008A2F28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Порядок подготовки </w:t>
      </w:r>
      <w:r w:rsidR="00060149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>годового</w:t>
      </w:r>
      <w:r w:rsidR="008A2F28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 xml:space="preserve"> отчета о результатах деятельности Контрольно-счётной комиссии Белгородского района</w:t>
      </w:r>
      <w:r w:rsidRPr="009D48AC"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  <w:t>»</w:t>
      </w: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</w:pPr>
      <w:r w:rsidRPr="009D48AC"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>(утвержден распоряжением Контрольно-</w:t>
      </w:r>
      <w:r w:rsidR="008A2F28"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>счётной</w:t>
      </w:r>
      <w:r w:rsidRPr="009D48AC"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 xml:space="preserve"> комиссии от </w:t>
      </w:r>
      <w:r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>25</w:t>
      </w:r>
      <w:r w:rsidRPr="009D48AC"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>.12.201</w:t>
      </w:r>
      <w:r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>7</w:t>
      </w:r>
      <w:r w:rsidRPr="009D48AC"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 xml:space="preserve"> г. № 2</w:t>
      </w:r>
      <w:r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>3</w:t>
      </w:r>
      <w:r w:rsidRPr="009D48AC">
        <w:rPr>
          <w:rFonts w:ascii="Liberation Serif" w:eastAsia="SimSun" w:hAnsi="Liberation Serif" w:cs="Times New Roman"/>
          <w:b/>
          <w:kern w:val="1"/>
          <w:sz w:val="24"/>
          <w:szCs w:val="24"/>
          <w:lang w:eastAsia="zh-CN" w:bidi="hi-IN"/>
        </w:rPr>
        <w:t xml:space="preserve">) </w:t>
      </w: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widowControl w:val="0"/>
        <w:numPr>
          <w:ilvl w:val="2"/>
          <w:numId w:val="1"/>
        </w:numPr>
        <w:suppressAutoHyphens/>
        <w:spacing w:after="0" w:line="360" w:lineRule="auto"/>
        <w:jc w:val="center"/>
        <w:outlineLvl w:val="2"/>
        <w:rPr>
          <w:rFonts w:ascii="Liberation Serif" w:eastAsia="SimSun" w:hAnsi="Liberation Serif" w:cs="Times New Roman"/>
          <w:b/>
          <w:kern w:val="1"/>
          <w:sz w:val="28"/>
          <w:szCs w:val="28"/>
          <w:lang w:eastAsia="zh-CN" w:bidi="hi-IN"/>
        </w:rPr>
      </w:pPr>
    </w:p>
    <w:p w:rsidR="009D48AC" w:rsidRPr="009D48AC" w:rsidRDefault="009D48AC" w:rsidP="009D48AC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9D48AC" w:rsidRPr="009D48AC" w:rsidRDefault="009D48AC" w:rsidP="009D48AC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9D48AC" w:rsidRPr="009D48AC" w:rsidRDefault="009D48AC" w:rsidP="009D48AC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9D48AC" w:rsidRPr="009D48AC" w:rsidRDefault="009D48AC" w:rsidP="009D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AC" w:rsidRPr="009D48AC" w:rsidRDefault="009D48AC" w:rsidP="009D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AC" w:rsidRPr="009D48AC" w:rsidRDefault="009D48AC" w:rsidP="009D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AC" w:rsidRPr="009D48AC" w:rsidRDefault="009D48AC" w:rsidP="009D4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AC" w:rsidRPr="009D48AC" w:rsidRDefault="009D48AC" w:rsidP="009D48AC">
      <w:pPr>
        <w:keepNext/>
        <w:spacing w:after="0" w:line="240" w:lineRule="auto"/>
        <w:ind w:right="1671"/>
        <w:jc w:val="center"/>
        <w:outlineLvl w:val="2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9D48AC" w:rsidRPr="009D48AC" w:rsidRDefault="009D48AC" w:rsidP="009D48A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  <w:r w:rsidRPr="009D48AC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>БЕЛГОРОДСКИЙ РАЙОН</w:t>
      </w:r>
    </w:p>
    <w:p w:rsidR="009D48AC" w:rsidRPr="009D48AC" w:rsidRDefault="009D48AC" w:rsidP="009D4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AC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 xml:space="preserve">      201</w:t>
      </w:r>
      <w:r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>7</w:t>
      </w:r>
      <w:r w:rsidRPr="009D48AC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 xml:space="preserve"> г.</w:t>
      </w:r>
    </w:p>
    <w:p w:rsidR="009D48AC" w:rsidRPr="009D48AC" w:rsidRDefault="009D48AC" w:rsidP="009D4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FB0" w:rsidRDefault="00877FB0"/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  <w:lastRenderedPageBreak/>
        <w:t>СОДЕРЖАНИЕ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sz w:val="28"/>
          <w:szCs w:val="28"/>
          <w:lang w:eastAsia="ar-SA"/>
        </w:rPr>
      </w:pPr>
    </w:p>
    <w:p w:rsidR="001A4981" w:rsidRPr="001A4981" w:rsidRDefault="001A4981" w:rsidP="001A4981">
      <w:pPr>
        <w:widowControl w:val="0"/>
        <w:tabs>
          <w:tab w:val="right" w:leader="dot" w:pos="9086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1. 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Общие положения……………………………………………………………...3</w:t>
      </w:r>
    </w:p>
    <w:p w:rsidR="001A4981" w:rsidRPr="001A4981" w:rsidRDefault="001A4981" w:rsidP="001A4981">
      <w:pPr>
        <w:widowControl w:val="0"/>
        <w:tabs>
          <w:tab w:val="left" w:pos="1"/>
          <w:tab w:val="right" w:leader="dot" w:pos="9091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2. Структура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годового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отчета…………………………</w:t>
      </w:r>
      <w:proofErr w:type="gramStart"/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…….</w:t>
      </w:r>
      <w:proofErr w:type="gramEnd"/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.………..…..……..3</w:t>
      </w:r>
    </w:p>
    <w:p w:rsidR="001A4981" w:rsidRPr="001A4981" w:rsidRDefault="001A4981" w:rsidP="001A4981">
      <w:pPr>
        <w:widowControl w:val="0"/>
        <w:tabs>
          <w:tab w:val="left" w:pos="1"/>
          <w:tab w:val="right" w:leader="dot" w:pos="9091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3. Правила формирования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годового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отчета………………………………</w:t>
      </w:r>
      <w:proofErr w:type="gramStart"/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…….</w:t>
      </w:r>
      <w:proofErr w:type="gramEnd"/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.5</w:t>
      </w:r>
    </w:p>
    <w:p w:rsidR="001A4981" w:rsidRPr="001A4981" w:rsidRDefault="001A4981" w:rsidP="001A4981">
      <w:pPr>
        <w:widowControl w:val="0"/>
        <w:tabs>
          <w:tab w:val="left" w:pos="1"/>
          <w:tab w:val="right" w:leader="dot" w:pos="9091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 w:cs="Calibri"/>
          <w:sz w:val="28"/>
          <w:szCs w:val="28"/>
          <w:highlight w:val="yellow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4. Утверждение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годового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отчета………………………………………………...5</w:t>
      </w:r>
    </w:p>
    <w:p w:rsidR="001A4981" w:rsidRPr="001A4981" w:rsidRDefault="001A4981" w:rsidP="001A4981">
      <w:pPr>
        <w:widowControl w:val="0"/>
        <w:suppressAutoHyphens/>
        <w:spacing w:after="0" w:line="36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bCs/>
          <w:sz w:val="28"/>
          <w:szCs w:val="28"/>
          <w:lang w:eastAsia="ar-SA"/>
        </w:rPr>
        <w:lastRenderedPageBreak/>
        <w:t>1. Общие положения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</w:p>
    <w:p w:rsidR="001A4981" w:rsidRPr="001A4981" w:rsidRDefault="001A4981" w:rsidP="001A4981">
      <w:pPr>
        <w:widowControl w:val="0"/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iCs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1.1. Стандарт организации деятельности «Порядок подготовки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 о результатах деятельности Контрольно-счётной комиссии Белгородского района» (далее – Стандарт) </w:t>
      </w:r>
      <w:r w:rsidRPr="001A4981">
        <w:rPr>
          <w:rFonts w:ascii="Times New Roman" w:eastAsia="Albany AMT" w:hAnsi="Times New Roman" w:cs="Times New Roman"/>
          <w:iCs/>
          <w:kern w:val="1"/>
          <w:sz w:val="28"/>
          <w:szCs w:val="28"/>
        </w:rPr>
        <w:t xml:space="preserve">разработан в соответствии с </w:t>
      </w:r>
      <w:r w:rsidRPr="001A4981">
        <w:rPr>
          <w:rFonts w:ascii="Times New Roman" w:eastAsia="Albany AMT" w:hAnsi="Times New Roman" w:cs="Times New Roman"/>
          <w:iCs/>
          <w:spacing w:val="-1"/>
          <w:kern w:val="1"/>
          <w:sz w:val="28"/>
          <w:szCs w:val="28"/>
        </w:rPr>
        <w:t>положениями Бюджетного кодекса Российской Федерации,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A4981">
        <w:rPr>
          <w:rFonts w:ascii="Times New Roman" w:eastAsia="Albany AMT" w:hAnsi="Times New Roman" w:cs="Times New Roman"/>
          <w:iCs/>
          <w:kern w:val="1"/>
          <w:sz w:val="28"/>
          <w:szCs w:val="28"/>
        </w:rPr>
        <w:t xml:space="preserve"> Положения 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о Контрольно-счетной </w:t>
      </w:r>
      <w:r>
        <w:rPr>
          <w:rFonts w:ascii="Times New Roman" w:eastAsia="Albany AMT" w:hAnsi="Times New Roman" w:cs="Times New Roman"/>
          <w:kern w:val="1"/>
          <w:sz w:val="28"/>
          <w:szCs w:val="28"/>
        </w:rPr>
        <w:t>комиссии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lbany AMT" w:hAnsi="Times New Roman" w:cs="Times New Roman"/>
          <w:kern w:val="1"/>
          <w:sz w:val="28"/>
          <w:szCs w:val="28"/>
        </w:rPr>
        <w:t>Белгородского района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, утвержденного решением Муниципального совета Белгородского района от «2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9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»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июня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201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7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г. №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548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(далее – Положение о К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онтрольно-ревизионной комиссии)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и Регламента Контрольно-счетной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комиссии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Белгородского района, утвержденного распоряжением председателя от 01.07.2017 года № 11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.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981">
        <w:rPr>
          <w:rFonts w:ascii="Times New Roman" w:eastAsia="Calibri" w:hAnsi="Times New Roman" w:cs="Times New Roman"/>
          <w:sz w:val="28"/>
          <w:szCs w:val="28"/>
        </w:rPr>
        <w:t xml:space="preserve">1.2. При подготовке Стандарта учтены положений «Общих требований к стандартам внешнего государственного и муниципального финансового контроля» (утв. Коллегией Счетной </w:t>
      </w:r>
      <w:r w:rsidR="0006014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A498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(протокол от 12 мая 2012 г. № 21К (854), Стандарта Счетной </w:t>
      </w:r>
      <w:r w:rsidR="0006014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A4981">
        <w:rPr>
          <w:rFonts w:ascii="Times New Roman" w:eastAsia="Calibri" w:hAnsi="Times New Roman" w:cs="Times New Roman"/>
          <w:sz w:val="28"/>
          <w:szCs w:val="28"/>
        </w:rPr>
        <w:t xml:space="preserve">РФ СОД 13 «Подготовка отчетов о работе Счетной </w:t>
      </w:r>
      <w:r w:rsidR="0006014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A4981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Федерации» (утв. решением Коллегии Счетной </w:t>
      </w:r>
      <w:r w:rsidR="0006014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A4981">
        <w:rPr>
          <w:rFonts w:ascii="Times New Roman" w:eastAsia="Calibri" w:hAnsi="Times New Roman" w:cs="Times New Roman"/>
          <w:sz w:val="28"/>
          <w:szCs w:val="28"/>
        </w:rPr>
        <w:t xml:space="preserve">РФ от 11 июня 2004 года протокол № 20 (390)) (с изменениями, утвержденными решением Коллегии Счетной </w:t>
      </w:r>
      <w:r w:rsidR="00060149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Pr="001A4981">
        <w:rPr>
          <w:rFonts w:ascii="Times New Roman" w:eastAsia="Calibri" w:hAnsi="Times New Roman" w:cs="Times New Roman"/>
          <w:sz w:val="28"/>
          <w:szCs w:val="28"/>
        </w:rPr>
        <w:t>РФ от 21 декабря 2012 года протокол № 56К (889)).</w:t>
      </w:r>
    </w:p>
    <w:p w:rsidR="001A4981" w:rsidRPr="001A4981" w:rsidRDefault="001A4981" w:rsidP="001A4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1.3. Целью Стандарта является установление порядка и правил подготовки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 о работе Контрольно-счетной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комиссии Белгородского района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(далее –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одовой отчет).</w:t>
      </w:r>
    </w:p>
    <w:p w:rsidR="001A4981" w:rsidRPr="001A4981" w:rsidRDefault="001A4981" w:rsidP="001A4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1.4. Задачей Стандарта является определение структуры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отчета, порядка организации работы по подготовке проекта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отчета, общих требований к представлению документов и материалов для формирования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отчета, порядка утверждения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отчета.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alibri"/>
          <w:bCs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2. Структура </w:t>
      </w:r>
      <w:r w:rsidR="00060149">
        <w:rPr>
          <w:rFonts w:ascii="Times New Roman" w:eastAsia="Arial" w:hAnsi="Times New Roman" w:cs="Calibri"/>
          <w:bCs/>
          <w:sz w:val="28"/>
          <w:szCs w:val="28"/>
          <w:lang w:eastAsia="ar-SA"/>
        </w:rPr>
        <w:t>годового</w:t>
      </w:r>
      <w:r w:rsidRPr="001A4981">
        <w:rPr>
          <w:rFonts w:ascii="Times New Roman" w:eastAsia="Arial" w:hAnsi="Times New Roman" w:cs="Calibri"/>
          <w:bCs/>
          <w:sz w:val="28"/>
          <w:szCs w:val="28"/>
          <w:lang w:eastAsia="ar-SA"/>
        </w:rPr>
        <w:t xml:space="preserve"> отчета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Calibri"/>
          <w:sz w:val="28"/>
          <w:szCs w:val="28"/>
          <w:highlight w:val="yellow"/>
          <w:lang w:eastAsia="ar-SA"/>
        </w:rPr>
      </w:pPr>
    </w:p>
    <w:p w:rsidR="001A4981" w:rsidRPr="001A4981" w:rsidRDefault="001A4981" w:rsidP="001A4981">
      <w:pPr>
        <w:widowControl w:val="0"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2.1. Годовой отчет состоит из общих данных, характеризующих деятельность КС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в целом, и их анализа (общая часть) и части, содержащей информацию о контрольной и э</w:t>
      </w:r>
      <w:r w:rsidR="00414667">
        <w:rPr>
          <w:rFonts w:ascii="Times New Roman" w:eastAsia="Albany AMT" w:hAnsi="Times New Roman" w:cs="Times New Roman"/>
          <w:kern w:val="1"/>
          <w:sz w:val="28"/>
          <w:szCs w:val="28"/>
        </w:rPr>
        <w:t>ксп</w:t>
      </w:r>
      <w:bookmarkStart w:id="0" w:name="_GoBack"/>
      <w:bookmarkEnd w:id="0"/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ертно-аналитической деятельности.</w:t>
      </w:r>
    </w:p>
    <w:p w:rsidR="001A4981" w:rsidRPr="001A4981" w:rsidRDefault="001A4981" w:rsidP="001A4981">
      <w:pPr>
        <w:tabs>
          <w:tab w:val="left" w:pos="-5670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2.2. Примерная структура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годового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 о </w:t>
      </w:r>
      <w:r w:rsidRPr="001A4981">
        <w:rPr>
          <w:rFonts w:ascii="Times New Roman" w:eastAsia="Albany AMT" w:hAnsi="Times New Roman" w:cs="Times New Roman"/>
          <w:iCs/>
          <w:kern w:val="1"/>
          <w:sz w:val="28"/>
          <w:szCs w:val="28"/>
        </w:rPr>
        <w:t>работе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включает следующие разделы и подразделы:</w:t>
      </w:r>
    </w:p>
    <w:p w:rsidR="001A4981" w:rsidRPr="001A4981" w:rsidRDefault="001A4981" w:rsidP="001A4981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1. Вводные положения:</w:t>
      </w:r>
    </w:p>
    <w:p w:rsidR="001A4981" w:rsidRPr="001A4981" w:rsidRDefault="001A4981" w:rsidP="001A4981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1.1. Задачи и функции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;</w:t>
      </w:r>
    </w:p>
    <w:p w:rsidR="001A4981" w:rsidRPr="001A4981" w:rsidRDefault="001A4981" w:rsidP="001A4981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1.2. Основные направления деятельности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в отчетном … году;</w:t>
      </w:r>
    </w:p>
    <w:p w:rsidR="001A4981" w:rsidRPr="001A4981" w:rsidRDefault="001A4981" w:rsidP="001A4981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1.3. Основные итоги работы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в отчетном … году;</w:t>
      </w:r>
    </w:p>
    <w:p w:rsidR="001A4981" w:rsidRPr="001A4981" w:rsidRDefault="001A4981" w:rsidP="001A4981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1.4. Реализация предложений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по итогам контрольных и э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кспертно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-аналитических мероприятий.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lastRenderedPageBreak/>
        <w:t xml:space="preserve">2. Контроль формирования и исполнения бюджета </w:t>
      </w:r>
      <w:r w:rsidR="00DA2168" w:rsidRPr="00DA2168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муниципального района «Белгородский район» Белгородской области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(далее- бюджета Белгородского района) 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и бюджетов муниципальных образований, входящих в состав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муниципального района «Белгородский район» Белгородской области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(далее – бюджеты Поселений):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2.1. Предварительный контроль;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2.2. Оперативный контроль;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2.3. Последующий контроль;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2.4. Результаты предварительного, оперативного и последующего контроля бюджета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Белгородского района 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и бюджетов Поселений.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3.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Экспер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тно-аналитическая деятельность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.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4. Обеспечение деятельности </w:t>
      </w:r>
      <w:r w:rsidR="00060149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: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4.1. Кадровое обеспечение деятельности </w:t>
      </w:r>
      <w:r w:rsidR="00060149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;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4.2. Организационное, документационное обеспечение деятельности </w:t>
      </w:r>
      <w:r w:rsidR="00060149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;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4.3. Информационная деятельность;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4.4. Взаимодействие </w:t>
      </w:r>
      <w:r w:rsidR="00060149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;</w:t>
      </w:r>
    </w:p>
    <w:p w:rsidR="001A4981" w:rsidRPr="001A4981" w:rsidRDefault="001A4981" w:rsidP="001A498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4.5. Финансовое и социально-бытовое обеспечение деятельности </w:t>
      </w:r>
      <w:r w:rsidR="00060149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.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5. Основные направления деятельности </w:t>
      </w:r>
      <w:r w:rsidR="00060149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 в …году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.</w:t>
      </w:r>
    </w:p>
    <w:p w:rsidR="001A4981" w:rsidRPr="001A4981" w:rsidRDefault="001A4981" w:rsidP="001A4981">
      <w:pPr>
        <w:widowControl w:val="0"/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2.3. Требования к содержанию отдельных подразделов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г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отчета:</w:t>
      </w:r>
    </w:p>
    <w:p w:rsidR="001A4981" w:rsidRPr="001A4981" w:rsidRDefault="001A4981" w:rsidP="001A4981">
      <w:pPr>
        <w:widowControl w:val="0"/>
        <w:tabs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sz w:val="28"/>
          <w:szCs w:val="28"/>
        </w:rPr>
        <w:t xml:space="preserve">1. Основные итоги работы </w:t>
      </w:r>
      <w:r w:rsidR="00060149">
        <w:rPr>
          <w:rFonts w:ascii="Times New Roman" w:eastAsia="Albany AMT" w:hAnsi="Times New Roman" w:cs="Times New Roman"/>
          <w:bCs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bCs/>
          <w:sz w:val="28"/>
          <w:szCs w:val="28"/>
        </w:rPr>
        <w:t xml:space="preserve"> в отчетном … году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(если информация показательна и данные сопоставимы – в сравнении с предыдущими отчетными периодами):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анализ выполнения плана работы (какие задачи ставились, какие мероприятия планировались, насколько решены поставленные задачи);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количество проведенных контрольных мероприятий;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количество объектов, охваченных при проведении контрольных мероприятий (из них: органы местного самоуправления, муниципальные учреждения и предприятия, прочие организации);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объем проверенных средств;</w:t>
      </w:r>
    </w:p>
    <w:p w:rsidR="001A4981" w:rsidRPr="001A4981" w:rsidRDefault="001A4981" w:rsidP="001A4981">
      <w:pPr>
        <w:widowControl w:val="0"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объем нарушений и анализ по видам и отраслям;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- количество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экспе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ртно-аналитических мероприятий (в том числе – заключений по проектам нормативных правовых актов органов местного самоуправления);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информация (статистическая) о представлениях и предписаниях: направлено, содержится предложений, исполнено, не исполнено и по каким причинам;</w:t>
      </w:r>
    </w:p>
    <w:p w:rsidR="001A4981" w:rsidRPr="001A4981" w:rsidRDefault="001A4981" w:rsidP="001A4981">
      <w:pPr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анализ устранения нарушений (возмещено в денежном выражении, сумма выполненных работ, услуг, внесение изменений в нормативные правовые акты и др.).</w:t>
      </w:r>
    </w:p>
    <w:p w:rsidR="001A4981" w:rsidRPr="001A4981" w:rsidRDefault="001A4981" w:rsidP="001A4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2. Результаты предварительного, оперативного и последующего контроля бюджета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Белгородского района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и бюджетов Поселений: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- наиболее значимые результаты контрольных мероприятий (кратко), основные выявленные нарушения, обобщить результаты и выводы по 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lastRenderedPageBreak/>
        <w:t>идентичным проверкам (потери бюджета и причины, суммы неэффективного использования средств);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color w:val="000000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color w:val="000000"/>
          <w:kern w:val="1"/>
          <w:sz w:val="28"/>
          <w:szCs w:val="28"/>
        </w:rPr>
        <w:t xml:space="preserve">- экономический эффект, 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наиболее значимые суммы возмещения и по каким объектам; предотвращено потерь и т.д.;</w:t>
      </w:r>
    </w:p>
    <w:p w:rsidR="001A4981" w:rsidRPr="001A4981" w:rsidRDefault="001A4981" w:rsidP="001A4981">
      <w:pPr>
        <w:widowControl w:val="0"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- меры, принимаемые по результатам значимых контрольных мероприятий; 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как и кем осуществлялся контроль (в т. ч. ведомственный), к чему привело отсутствие контроля;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реализация МЦП, увязка МЦП и областных целевых программ;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bCs/>
          <w:color w:val="000000"/>
          <w:kern w:val="1"/>
          <w:sz w:val="28"/>
          <w:szCs w:val="28"/>
        </w:rPr>
        <w:t xml:space="preserve">- реализация полномочий собственника </w:t>
      </w:r>
      <w:r w:rsidRPr="001A4981">
        <w:rPr>
          <w:rFonts w:ascii="Times New Roman" w:eastAsia="Albany AMT" w:hAnsi="Times New Roman" w:cs="Times New Roman"/>
          <w:color w:val="000000"/>
          <w:kern w:val="1"/>
          <w:sz w:val="28"/>
          <w:szCs w:val="28"/>
        </w:rPr>
        <w:t>по повышению наполняемости доходной части бюджета;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показательная информация по исполнению представлений и предписаний, по неисполненным представлениям и предписаниям;</w:t>
      </w:r>
    </w:p>
    <w:p w:rsidR="001A4981" w:rsidRPr="001A4981" w:rsidRDefault="001A4981" w:rsidP="001A49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- иная значимая информация.</w:t>
      </w:r>
    </w:p>
    <w:p w:rsidR="001A4981" w:rsidRPr="001A4981" w:rsidRDefault="001A4981" w:rsidP="001A4981">
      <w:pPr>
        <w:spacing w:after="0" w:line="240" w:lineRule="auto"/>
        <w:jc w:val="both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3. Правила формирования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г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</w:t>
      </w:r>
    </w:p>
    <w:p w:rsidR="001A4981" w:rsidRPr="001A4981" w:rsidRDefault="001A4981" w:rsidP="001A4981">
      <w:pPr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  <w:highlight w:val="yellow"/>
        </w:rPr>
      </w:pPr>
    </w:p>
    <w:p w:rsidR="001A4981" w:rsidRPr="001A4981" w:rsidRDefault="001A4981" w:rsidP="001A4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3.1. Учет количества проведенных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экспе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ртно-аналитических мероприятий осуществляется по количеству заключений и информационно-аналитических справок, составленных по их результатам. Учет количества контрольных мероприятий осуществляется по количеству актов.</w:t>
      </w:r>
    </w:p>
    <w:p w:rsidR="001A4981" w:rsidRPr="001A4981" w:rsidRDefault="001A4981" w:rsidP="001A4981">
      <w:pPr>
        <w:widowControl w:val="0"/>
        <w:tabs>
          <w:tab w:val="left" w:pos="993"/>
          <w:tab w:val="num" w:pos="1276"/>
        </w:tabs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Контрольные и э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кспе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ртно-аналитические мероприятия учитываются раздельно.</w:t>
      </w:r>
    </w:p>
    <w:p w:rsidR="001A4981" w:rsidRPr="001A4981" w:rsidRDefault="001A4981" w:rsidP="001A498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3.2. В Годовом отчете приводятся данные только по завершенным контрольным и э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ксп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ертно-аналитическим мероприятиям.</w:t>
      </w:r>
    </w:p>
    <w:p w:rsidR="001A4981" w:rsidRPr="001A4981" w:rsidRDefault="001A4981" w:rsidP="001A4981">
      <w:pPr>
        <w:widowControl w:val="0"/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3.3. 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</w:t>
      </w:r>
    </w:p>
    <w:p w:rsidR="001A4981" w:rsidRPr="001A4981" w:rsidRDefault="001A4981" w:rsidP="001A4981">
      <w:pPr>
        <w:widowControl w:val="0"/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Если проведено несколько контрольных мероприятий на одном объекте в течение отчетного периода, то объект учитывается один раз.</w:t>
      </w:r>
    </w:p>
    <w:p w:rsidR="001A4981" w:rsidRPr="001A4981" w:rsidRDefault="001A4981" w:rsidP="001A4981">
      <w:pPr>
        <w:widowControl w:val="0"/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>3.4. Суммы выявленных и возмещенных финансовых нарушений указываются в тысячах рублей с точностью до первого десятичного знака.</w:t>
      </w:r>
    </w:p>
    <w:p w:rsidR="001A4981" w:rsidRPr="001A4981" w:rsidRDefault="001A4981" w:rsidP="001A4981">
      <w:pPr>
        <w:widowControl w:val="0"/>
        <w:tabs>
          <w:tab w:val="num" w:pos="1276"/>
        </w:tabs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3.5. Объем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г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 не ограничен.</w:t>
      </w:r>
    </w:p>
    <w:p w:rsidR="001A4981" w:rsidRPr="001A4981" w:rsidRDefault="001A4981" w:rsidP="001A4981">
      <w:pPr>
        <w:widowControl w:val="0"/>
        <w:tabs>
          <w:tab w:val="num" w:pos="993"/>
        </w:tabs>
        <w:suppressAutoHyphens/>
        <w:spacing w:after="0" w:line="240" w:lineRule="auto"/>
        <w:ind w:firstLine="567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3.6. Текстовые документы и материалы к формированию отчета о </w:t>
      </w:r>
      <w:r w:rsidRPr="001A4981">
        <w:rPr>
          <w:rFonts w:ascii="Times New Roman" w:eastAsia="Albany AMT" w:hAnsi="Times New Roman" w:cs="Times New Roman"/>
          <w:iCs/>
          <w:kern w:val="1"/>
          <w:sz w:val="28"/>
          <w:szCs w:val="28"/>
        </w:rPr>
        <w:t>работе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оформляются в соответствии с требованиями Инструкции по делопроизводству.</w:t>
      </w:r>
    </w:p>
    <w:p w:rsidR="001A4981" w:rsidRPr="001A4981" w:rsidRDefault="001A4981" w:rsidP="001A4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3.7. При формировании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г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одового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отчета при необходимости направляются запросы в проверенные в течение отчетного года органы и организации для уточнения информации о принятых мерах по устранению нарушений, выявленных в ходе контрольного мероприятия.</w:t>
      </w:r>
    </w:p>
    <w:p w:rsidR="001A4981" w:rsidRPr="001A4981" w:rsidRDefault="001A4981" w:rsidP="001A49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1"/>
          <w:sz w:val="28"/>
          <w:szCs w:val="28"/>
        </w:rPr>
      </w:pP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3.8. Годовой отчет формируется и подписывается председателем </w:t>
      </w:r>
      <w:r w:rsidR="00060149">
        <w:rPr>
          <w:rFonts w:ascii="Times New Roman" w:eastAsia="Albany AMT" w:hAnsi="Times New Roman" w:cs="Times New Roman"/>
          <w:kern w:val="1"/>
          <w:sz w:val="28"/>
          <w:szCs w:val="28"/>
        </w:rPr>
        <w:t>КСК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в срок до 1 </w:t>
      </w:r>
      <w:r w:rsidR="00DA2168">
        <w:rPr>
          <w:rFonts w:ascii="Times New Roman" w:eastAsia="Albany AMT" w:hAnsi="Times New Roman" w:cs="Times New Roman"/>
          <w:kern w:val="1"/>
          <w:sz w:val="28"/>
          <w:szCs w:val="28"/>
        </w:rPr>
        <w:t>апреля</w:t>
      </w:r>
      <w:r w:rsidRPr="001A4981">
        <w:rPr>
          <w:rFonts w:ascii="Times New Roman" w:eastAsia="Albany AMT" w:hAnsi="Times New Roman" w:cs="Times New Roman"/>
          <w:kern w:val="1"/>
          <w:sz w:val="28"/>
          <w:szCs w:val="28"/>
        </w:rPr>
        <w:t xml:space="preserve"> года, следующего за отчетным.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DA2168" w:rsidRDefault="00DA2168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lastRenderedPageBreak/>
        <w:t xml:space="preserve">4. Утверждение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Годового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отчета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4.1. Председателем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КСК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в срок до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20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апреля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года, следующего за отчетным, проект решения направляется на рассмотрение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Муниципальный совет Белгородского района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.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4.2. Представление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г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одового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отчета в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Муниципальном совете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осуществляется председателем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КСК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.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Формой представления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г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одового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отчета является устный доклад председателя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КСК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на заседании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Муниципального совета Белгородского района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, подготовленный на основании текста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г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одового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 отчета.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4.3. После рассмотрения </w:t>
      </w:r>
      <w:r w:rsidR="00DA2168" w:rsidRPr="00DA2168">
        <w:rPr>
          <w:rFonts w:ascii="Times New Roman" w:eastAsia="Arial" w:hAnsi="Times New Roman" w:cs="Calibri"/>
          <w:sz w:val="28"/>
          <w:szCs w:val="28"/>
          <w:lang w:eastAsia="ar-SA"/>
        </w:rPr>
        <w:t xml:space="preserve">Муниципального совета Белгородского района </w:t>
      </w:r>
      <w:r w:rsidR="00DA2168">
        <w:rPr>
          <w:rFonts w:ascii="Times New Roman" w:eastAsia="Arial" w:hAnsi="Times New Roman" w:cs="Calibri"/>
          <w:sz w:val="28"/>
          <w:szCs w:val="28"/>
          <w:lang w:eastAsia="ar-SA"/>
        </w:rPr>
        <w:t>г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 xml:space="preserve">одовой отчет размещается на официальном сайте администрации </w:t>
      </w:r>
      <w:r w:rsidR="00060149">
        <w:rPr>
          <w:rFonts w:ascii="Times New Roman" w:eastAsia="Arial" w:hAnsi="Times New Roman" w:cs="Calibri"/>
          <w:sz w:val="28"/>
          <w:szCs w:val="28"/>
          <w:lang w:eastAsia="ar-SA"/>
        </w:rPr>
        <w:t>Белгородского района</w:t>
      </w:r>
      <w:r w:rsidRPr="001A4981">
        <w:rPr>
          <w:rFonts w:ascii="Times New Roman" w:eastAsia="Arial" w:hAnsi="Times New Roman" w:cs="Calibri"/>
          <w:sz w:val="28"/>
          <w:szCs w:val="28"/>
          <w:lang w:eastAsia="ar-SA"/>
        </w:rPr>
        <w:t>.</w:t>
      </w: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1A4981" w:rsidRPr="001A4981" w:rsidRDefault="001A4981" w:rsidP="001A498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Calibri"/>
          <w:sz w:val="28"/>
          <w:szCs w:val="28"/>
          <w:lang w:eastAsia="ar-SA"/>
        </w:rPr>
      </w:pPr>
    </w:p>
    <w:p w:rsidR="001A4981" w:rsidRDefault="001A4981"/>
    <w:sectPr w:rsidR="001A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pacing w:val="-2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21"/>
    <w:rsid w:val="00060149"/>
    <w:rsid w:val="001A4981"/>
    <w:rsid w:val="001E3CE4"/>
    <w:rsid w:val="00295433"/>
    <w:rsid w:val="00392121"/>
    <w:rsid w:val="00414667"/>
    <w:rsid w:val="00877FB0"/>
    <w:rsid w:val="008A2F28"/>
    <w:rsid w:val="009D48AC"/>
    <w:rsid w:val="00D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42DB-D1D9-470D-9AFD-B11CC3DE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 Игорь</dc:creator>
  <cp:keywords/>
  <dc:description/>
  <cp:lastModifiedBy>Храмцов Игорь</cp:lastModifiedBy>
  <cp:revision>4</cp:revision>
  <dcterms:created xsi:type="dcterms:W3CDTF">2019-04-03T07:07:00Z</dcterms:created>
  <dcterms:modified xsi:type="dcterms:W3CDTF">2019-04-10T14:09:00Z</dcterms:modified>
</cp:coreProperties>
</file>