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D6F56">
        <w:rPr>
          <w:b/>
          <w:bCs/>
          <w:sz w:val="24"/>
          <w:szCs w:val="24"/>
        </w:rPr>
        <w:t>1</w:t>
      </w:r>
      <w:r w:rsidR="00C46C08">
        <w:rPr>
          <w:b/>
          <w:bCs/>
          <w:sz w:val="24"/>
          <w:szCs w:val="24"/>
        </w:rPr>
        <w:t>8</w:t>
      </w:r>
      <w:r w:rsidR="001D6F56">
        <w:rPr>
          <w:b/>
          <w:bCs/>
          <w:sz w:val="24"/>
          <w:szCs w:val="24"/>
        </w:rPr>
        <w:t xml:space="preserve"> 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9F308C">
        <w:rPr>
          <w:b/>
          <w:sz w:val="24"/>
          <w:szCs w:val="24"/>
        </w:rPr>
        <w:t>Пушкарского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D6F56">
        <w:rPr>
          <w:bCs/>
          <w:sz w:val="24"/>
          <w:szCs w:val="24"/>
        </w:rPr>
        <w:t>12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D6F56">
        <w:rPr>
          <w:bCs/>
          <w:sz w:val="24"/>
          <w:szCs w:val="24"/>
        </w:rPr>
        <w:t>20 сентября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1D6F56">
        <w:rPr>
          <w:bCs/>
          <w:sz w:val="24"/>
          <w:szCs w:val="24"/>
        </w:rPr>
        <w:t>174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F308C">
        <w:rPr>
          <w:bCs/>
          <w:sz w:val="24"/>
          <w:szCs w:val="24"/>
        </w:rPr>
        <w:t>Пушкарского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AA7988">
        <w:rPr>
          <w:bCs/>
          <w:sz w:val="24"/>
          <w:szCs w:val="24"/>
        </w:rPr>
        <w:t xml:space="preserve"> </w:t>
      </w:r>
      <w:r w:rsidR="00C46C08">
        <w:rPr>
          <w:bCs/>
          <w:sz w:val="24"/>
          <w:szCs w:val="24"/>
        </w:rPr>
        <w:t>4</w:t>
      </w:r>
      <w:r w:rsidR="001D6F56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D6F56">
        <w:rPr>
          <w:bCs/>
          <w:sz w:val="24"/>
          <w:szCs w:val="24"/>
        </w:rPr>
        <w:t>1</w:t>
      </w:r>
      <w:r w:rsidR="00EA3E73">
        <w:rPr>
          <w:bCs/>
          <w:sz w:val="24"/>
          <w:szCs w:val="24"/>
        </w:rPr>
        <w:t>2</w:t>
      </w:r>
      <w:r w:rsidR="001D6F56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1D6F56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9F308C" w:rsidTr="001D6F56">
        <w:trPr>
          <w:trHeight w:val="743"/>
        </w:trPr>
        <w:tc>
          <w:tcPr>
            <w:tcW w:w="461" w:type="dxa"/>
            <w:hideMark/>
          </w:tcPr>
          <w:p w:rsidR="00D60E57" w:rsidRPr="009F308C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F308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D6F56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F5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9F308C" w:rsidRPr="001D6F56">
              <w:rPr>
                <w:rFonts w:ascii="Times New Roman" w:hAnsi="Times New Roman"/>
                <w:sz w:val="24"/>
                <w:szCs w:val="24"/>
              </w:rPr>
              <w:t>Пушкарского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D6F56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D6F56" w:rsidRPr="001D6F56" w:rsidRDefault="001D6F56" w:rsidP="001D6F5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6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1D6F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sz w:val="24"/>
                <w:szCs w:val="24"/>
              </w:rPr>
              <w:t xml:space="preserve">«1.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1D6F56" w:rsidRPr="001D6F56" w:rsidRDefault="001D6F56" w:rsidP="001D6F5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1D6F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1D6F56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sz w:val="24"/>
                <w:szCs w:val="24"/>
              </w:rPr>
              <w:t xml:space="preserve">«1.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1D6F56" w:rsidRDefault="00D60E57" w:rsidP="001D6F5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6C08" w:rsidRDefault="00C46C08" w:rsidP="00C46C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 xml:space="preserve">для территориальной зоны ЖУ – зона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земельного участка, образуемого в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результате перераспределения.</w:t>
            </w:r>
          </w:p>
          <w:p w:rsidR="00C46C08" w:rsidRPr="000E7EEF" w:rsidRDefault="00C46C08" w:rsidP="00C46C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Установление данного параметра для образованных в результате перераспределения земельных участков с учетом сложившейся многолетней застройки в территориальной зоне ЖУ является нерациональным, и препятствует возможности перераспределения ранее образованных земельных участков. </w:t>
            </w:r>
          </w:p>
          <w:p w:rsidR="00C46C08" w:rsidRPr="000E7EEF" w:rsidRDefault="00C46C08" w:rsidP="00C46C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D6F56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1D6F56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1D6F56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D6F56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1D6F56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1D6F56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1D6F5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D6F56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1D6F56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40C7D" w:rsidRPr="001D6F56" w:rsidRDefault="00C352CC" w:rsidP="00D85A7A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F56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D6F56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1D6F56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1D6F56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9F308C" w:rsidRPr="001D6F56">
              <w:rPr>
                <w:rFonts w:ascii="Times New Roman" w:hAnsi="Times New Roman"/>
                <w:sz w:val="24"/>
                <w:szCs w:val="24"/>
              </w:rPr>
              <w:t>Пушкарского</w:t>
            </w:r>
            <w:r w:rsidR="00E16E58" w:rsidRPr="001D6F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D6F56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D6F56" w:rsidRPr="001D6F56" w:rsidRDefault="001D6F56" w:rsidP="001D6F5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6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1D6F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sz w:val="24"/>
                <w:szCs w:val="24"/>
              </w:rPr>
              <w:lastRenderedPageBreak/>
              <w:t xml:space="preserve">«1.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1D6F56" w:rsidRPr="001D6F56" w:rsidRDefault="001D6F56" w:rsidP="001D6F56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1D6F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F5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</w:t>
            </w:r>
            <w:r w:rsidRPr="001D6F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жилищного строительства», </w:t>
            </w:r>
            <w:r w:rsidRPr="001D6F56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sz w:val="24"/>
                <w:szCs w:val="24"/>
              </w:rPr>
              <w:t xml:space="preserve">«1.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C46C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="00EA3E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</w:t>
            </w:r>
            <w:bookmarkStart w:id="0" w:name="_GoBack"/>
            <w:bookmarkEnd w:id="0"/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– не менее 20 м;</w:t>
            </w:r>
          </w:p>
          <w:p w:rsidR="001D6F56" w:rsidRPr="001D6F56" w:rsidRDefault="001D6F56" w:rsidP="001D6F5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1D6F56" w:rsidRPr="001D6F56" w:rsidRDefault="001D6F56" w:rsidP="001D6F5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D6F5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D60E57" w:rsidRPr="001D6F56" w:rsidRDefault="00D60E57" w:rsidP="001D6F56">
            <w:pPr>
              <w:pStyle w:val="a4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9F308C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D6F5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1D6F56">
        <w:rPr>
          <w:bCs/>
          <w:sz w:val="24"/>
          <w:szCs w:val="24"/>
        </w:rPr>
        <w:t>утвердить внесение изменений в Правила землепользования и застройки</w:t>
      </w:r>
      <w:r w:rsidR="001D6F56" w:rsidRPr="0080428D">
        <w:rPr>
          <w:bCs/>
          <w:sz w:val="24"/>
          <w:szCs w:val="24"/>
        </w:rPr>
        <w:t xml:space="preserve"> </w:t>
      </w:r>
      <w:r w:rsidR="001D6F56">
        <w:rPr>
          <w:bCs/>
          <w:sz w:val="24"/>
          <w:szCs w:val="24"/>
        </w:rPr>
        <w:t>Пушкарского</w:t>
      </w:r>
      <w:r w:rsidR="001D6F56" w:rsidRPr="0080428D">
        <w:rPr>
          <w:bCs/>
          <w:sz w:val="24"/>
          <w:szCs w:val="24"/>
        </w:rPr>
        <w:t xml:space="preserve"> сельского поселения муниципально</w:t>
      </w:r>
      <w:r w:rsidR="001D6F56">
        <w:rPr>
          <w:bCs/>
          <w:sz w:val="24"/>
          <w:szCs w:val="24"/>
        </w:rPr>
        <w:t xml:space="preserve">го района «Белгородский район» Белгородской </w:t>
      </w:r>
      <w:r w:rsidR="001D6F56" w:rsidRPr="0080428D">
        <w:rPr>
          <w:bCs/>
          <w:sz w:val="24"/>
          <w:szCs w:val="24"/>
        </w:rPr>
        <w:t>области</w:t>
      </w:r>
      <w:r w:rsidR="001D6F56">
        <w:rPr>
          <w:bCs/>
          <w:sz w:val="24"/>
          <w:szCs w:val="24"/>
        </w:rPr>
        <w:t>.</w:t>
      </w:r>
    </w:p>
    <w:p w:rsidR="001D6F56" w:rsidRDefault="001D6F5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D6F56" w:rsidRPr="0007515D" w:rsidRDefault="001D6F5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1D6F56">
        <w:rPr>
          <w:b/>
          <w:sz w:val="24"/>
          <w:szCs w:val="24"/>
        </w:rPr>
        <w:t xml:space="preserve">                                                                В.С. </w:t>
      </w:r>
      <w:proofErr w:type="spellStart"/>
      <w:r w:rsidR="001D6F56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1D6F56">
        <w:rPr>
          <w:b/>
          <w:sz w:val="24"/>
          <w:szCs w:val="24"/>
        </w:rPr>
        <w:t xml:space="preserve">                                                                                         С.А. Глушкова                                </w:t>
      </w:r>
    </w:p>
    <w:sectPr w:rsidR="00543DD1" w:rsidRPr="0007515D" w:rsidSect="001D6F56">
      <w:pgSz w:w="15840" w:h="12240" w:orient="landscape" w:code="1"/>
      <w:pgMar w:top="709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33F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D6F56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308C"/>
    <w:rsid w:val="009F49C7"/>
    <w:rsid w:val="00A03BB4"/>
    <w:rsid w:val="00A12641"/>
    <w:rsid w:val="00A20CFB"/>
    <w:rsid w:val="00A210D5"/>
    <w:rsid w:val="00A21869"/>
    <w:rsid w:val="00A25AB5"/>
    <w:rsid w:val="00A353FC"/>
    <w:rsid w:val="00A742F7"/>
    <w:rsid w:val="00A75F7A"/>
    <w:rsid w:val="00A84BC6"/>
    <w:rsid w:val="00AA2918"/>
    <w:rsid w:val="00AA798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46C08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85A7A"/>
    <w:rsid w:val="00D87CE3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A3E73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115</cp:revision>
  <cp:lastPrinted>2023-03-24T13:45:00Z</cp:lastPrinted>
  <dcterms:created xsi:type="dcterms:W3CDTF">2020-02-27T08:16:00Z</dcterms:created>
  <dcterms:modified xsi:type="dcterms:W3CDTF">2023-10-18T13:23:00Z</dcterms:modified>
</cp:coreProperties>
</file>