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eastAsia="Calibri" w:cs="Tinos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895350"/>
                <wp:effectExtent l="1905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2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70.5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cs="Tinos"/>
        </w:rPr>
      </w:r>
    </w:p>
    <w:p>
      <w:pPr>
        <w:spacing w:after="0"/>
        <w:rPr>
          <w:rFonts w:ascii="Tinos" w:hAnsi="Tinos" w:cs="Tinos"/>
          <w:b/>
          <w:bCs/>
          <w:sz w:val="18"/>
          <w:szCs w:val="20"/>
        </w:rPr>
      </w:pPr>
      <w:r>
        <w:rPr>
          <w:rFonts w:ascii="Tinos" w:hAnsi="Tinos" w:eastAsia="Calibri" w:cs="Tinos"/>
          <w:b/>
          <w:bCs/>
        </w:rPr>
        <w:t xml:space="preserve">МУНИЦИПАЛЬНЫЙ РАЙОН «БЕЛГОРОДСКИЙ РАЙОН» БЕЛГОРОДСКОЙ ОБЛАСТИ</w:t>
      </w:r>
      <w:r>
        <w:rPr>
          <w:rFonts w:ascii="Tinos" w:hAnsi="Tinos" w:cs="Tinos"/>
        </w:rPr>
      </w:r>
    </w:p>
    <w:p>
      <w:pPr>
        <w:spacing w:after="0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ЗЕМСКОЕ СОБРАНИЕ КРУТОЛОГСКОГО СЕЛЬСКОГО ПОСЕЛЕНИЯ</w:t>
      </w:r>
      <w:r>
        <w:rPr>
          <w:rFonts w:ascii="Tinos" w:hAnsi="Tinos" w:cs="Tinos"/>
        </w:rPr>
      </w:r>
    </w:p>
    <w:p>
      <w:pPr>
        <w:ind w:firstLine="709"/>
        <w:jc w:val="center"/>
        <w:spacing w:after="0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</w:rPr>
        <w:t xml:space="preserve">двенадцатое заседание собрания пятого созыва</w:t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ind w:firstLine="709"/>
        <w:jc w:val="center"/>
        <w:spacing w:after="0"/>
        <w:rPr>
          <w:rFonts w:ascii="Arial" w:hAnsi="Arial" w:eastAsia="Calibri" w:cs="Arial"/>
          <w:bCs/>
          <w:szCs w:val="32"/>
        </w:rPr>
      </w:pPr>
      <w:r>
        <w:rPr>
          <w:rFonts w:ascii="Arial" w:hAnsi="Arial" w:eastAsia="Calibri" w:cs="Arial"/>
          <w:bCs/>
          <w:szCs w:val="32"/>
        </w:rPr>
      </w:r>
      <w:r/>
    </w:p>
    <w:p>
      <w:pPr>
        <w:ind w:firstLine="709"/>
        <w:jc w:val="center"/>
        <w:rPr>
          <w:rFonts w:ascii="Tinos" w:hAnsi="Tinos" w:cs="Tinos"/>
          <w:bCs/>
          <w:sz w:val="32"/>
          <w:szCs w:val="32"/>
        </w:rPr>
      </w:pPr>
      <w:r>
        <w:rPr>
          <w:rFonts w:ascii="Tinos" w:hAnsi="Tinos" w:cs="Tinos"/>
          <w:bCs/>
          <w:sz w:val="32"/>
          <w:szCs w:val="32"/>
        </w:rPr>
        <w:t xml:space="preserve">Р Е Ш Е Н И Е</w:t>
      </w:r>
      <w:r>
        <w:rPr>
          <w:rFonts w:ascii="Tinos" w:hAnsi="Tinos" w:cs="Tinos"/>
        </w:rPr>
      </w:r>
    </w:p>
    <w:p>
      <w:pPr>
        <w:pStyle w:val="686"/>
        <w:ind w:right="-284"/>
        <w:rPr>
          <w:rFonts w:ascii="Tinos" w:hAnsi="Tinos" w:cs="Tinos"/>
          <w:bCs/>
          <w:sz w:val="32"/>
          <w:szCs w:val="32"/>
        </w:rPr>
      </w:pPr>
      <w:r>
        <w:rPr>
          <w:rFonts w:ascii="Tinos" w:hAnsi="Tinos" w:cs="Tinos"/>
          <w:bCs/>
          <w:sz w:val="32"/>
          <w:szCs w:val="32"/>
        </w:rPr>
      </w:r>
      <w:r>
        <w:rPr>
          <w:rFonts w:ascii="Tinos" w:hAnsi="Tinos" w:cs="Tinos"/>
        </w:rPr>
      </w:r>
    </w:p>
    <w:p>
      <w:pPr>
        <w:pStyle w:val="686"/>
        <w:ind w:right="-1"/>
        <w:rPr>
          <w:rFonts w:ascii="Tinos" w:hAnsi="Tinos" w:cs="Tinos"/>
          <w:b/>
          <w:sz w:val="27"/>
          <w:szCs w:val="27"/>
        </w:rPr>
      </w:pPr>
      <w:r>
        <w:rPr>
          <w:rFonts w:ascii="Tinos" w:hAnsi="Tinos" w:cs="Tinos"/>
          <w:b/>
          <w:bCs/>
          <w:sz w:val="28"/>
        </w:rPr>
        <w:t xml:space="preserve">«29» октября 2024 г.                                                                           </w:t>
      </w:r>
      <w:r>
        <w:rPr>
          <w:rFonts w:ascii="Tinos" w:hAnsi="Tinos" w:cs="Tinos"/>
          <w:b/>
          <w:bCs/>
          <w:sz w:val="28"/>
        </w:rPr>
        <w:t xml:space="preserve">             </w:t>
      </w:r>
      <w:r>
        <w:rPr>
          <w:rFonts w:ascii="Tinos" w:hAnsi="Tinos" w:cs="Tinos"/>
          <w:b/>
          <w:bCs/>
          <w:sz w:val="28"/>
        </w:rPr>
        <w:t xml:space="preserve">    № </w:t>
      </w:r>
      <w:r>
        <w:rPr>
          <w:rFonts w:ascii="Tinos" w:hAnsi="Tinos" w:cs="Tinos"/>
          <w:b/>
          <w:bCs/>
          <w:sz w:val="28"/>
        </w:rPr>
        <w:t xml:space="preserve">61</w:t>
      </w:r>
      <w:r>
        <w:rPr>
          <w:rFonts w:ascii="Tinos" w:hAnsi="Tinos" w:cs="Tinos"/>
        </w:rPr>
      </w:r>
    </w:p>
    <w:p>
      <w:pPr>
        <w:ind w:right="-284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7"/>
          <w:szCs w:val="27"/>
        </w:rPr>
        <w:br/>
        <w:t xml:space="preserve">от 22 октября 2024 года № 137 «О выдвиже</w:t>
      </w:r>
      <w:r>
        <w:rPr>
          <w:rFonts w:ascii="Times New Roman" w:hAnsi="Times New Roman" w:cs="Times New Roman"/>
          <w:sz w:val="27"/>
          <w:szCs w:val="27"/>
        </w:rPr>
        <w:t xml:space="preserve">нии инициативы о преобразовании всех  поселений,  входящих  в состав  муниципального 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7"/>
            <w:szCs w:val="27"/>
          </w:rPr>
          <w:t xml:space="preserve"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6 октября 2003 года </w:t>
      </w:r>
      <w:r>
        <w:rPr>
          <w:rFonts w:ascii="Times New Roman" w:hAnsi="Times New Roman" w:cs="Times New Roman"/>
          <w:sz w:val="27"/>
          <w:szCs w:val="27"/>
        </w:rPr>
        <w:t xml:space="preserve">№ 1</w:t>
      </w:r>
      <w:r>
        <w:rPr>
          <w:rFonts w:ascii="Times New Roman" w:hAnsi="Times New Roman" w:cs="Times New Roman"/>
          <w:sz w:val="27"/>
          <w:szCs w:val="27"/>
        </w:rPr>
        <w:t xml:space="preserve">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Крутологском сельском поселении Белгородского района, утвержденным решением земского собрания </w:t>
      </w:r>
      <w:r>
        <w:rPr>
          <w:rFonts w:ascii="Times New Roman" w:hAnsi="Times New Roman" w:cs="Times New Roman"/>
          <w:sz w:val="27"/>
          <w:szCs w:val="27"/>
        </w:rPr>
        <w:t xml:space="preserve">Крутологского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от 28 ноября 2018 года № 28,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 xml:space="preserve">Крутологского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муниципального района «Белгородский район» Белгородской области,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Земское собрание </w:t>
      </w:r>
      <w:r>
        <w:rPr>
          <w:rFonts w:ascii="Times New Roman" w:hAnsi="Times New Roman" w:cs="Times New Roman"/>
          <w:b/>
          <w:sz w:val="27"/>
          <w:szCs w:val="27"/>
        </w:rPr>
        <w:t xml:space="preserve">Крутологского сельского поселения р е ш и л о</w:t>
      </w:r>
      <w:r>
        <w:rPr>
          <w:rFonts w:ascii="Times New Roman" w:hAnsi="Times New Roman" w:cs="Times New Roman"/>
          <w:b/>
          <w:sz w:val="27"/>
          <w:szCs w:val="27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Назначить публичные слушания по вопросу: «О преобразова</w:t>
      </w:r>
      <w:r>
        <w:rPr>
          <w:rFonts w:ascii="Times New Roman" w:hAnsi="Times New Roman" w:cs="Times New Roman"/>
          <w:sz w:val="27"/>
          <w:szCs w:val="27"/>
        </w:rPr>
        <w:t xml:space="preserve">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Определить место проведения публичных слушаний: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Белгородский район, с. Крутой Лог</w:t>
      </w:r>
      <w:r>
        <w:rPr>
          <w:rFonts w:ascii="Times New Roman" w:hAnsi="Times New Roman" w:cs="Times New Roman"/>
          <w:sz w:val="27"/>
          <w:szCs w:val="27"/>
        </w:rPr>
        <w:t xml:space="preserve">, ул.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Октябрьская</w:t>
      </w:r>
      <w:r>
        <w:rPr>
          <w:rFonts w:ascii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1 (здание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Крутологского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</w:t>
      </w:r>
      <w:r>
        <w:rPr>
          <w:rFonts w:ascii="Times New Roman" w:hAnsi="Times New Roman" w:cs="Times New Roman"/>
          <w:sz w:val="27"/>
          <w:szCs w:val="27"/>
        </w:rPr>
        <w:t xml:space="preserve">публичных слушаниях 19 ноября 2024 года с 15:00 часов в режиме онлайн, используя ссылку на конференцию: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https://pos.gosuslugi.ru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Сформировать рабочую группу по подготовке и проведению публичных слушаний в следующем составе:</w:t>
      </w:r>
      <w:r/>
    </w:p>
    <w:tbl>
      <w:tblPr>
        <w:tblStyle w:val="700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6944"/>
      </w:tblGrid>
      <w:tr>
        <w:trPr/>
        <w:tc>
          <w:tcPr>
            <w:tcW w:w="2693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Катунина Ольга Викторовна</w:t>
            </w:r>
            <w:r/>
          </w:p>
        </w:tc>
        <w:tc>
          <w:tcPr>
            <w:tcW w:w="6944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Крутологского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председатель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рабочей группы по подготовке и проведению публичных слушаний, </w:t>
            </w:r>
            <w:r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председательствующий на публичных слушаниях</w:t>
            </w:r>
            <w:r/>
          </w:p>
        </w:tc>
      </w:tr>
      <w:tr>
        <w:trPr/>
        <w:tc>
          <w:tcPr>
            <w:tcW w:w="2693" w:type="dxa"/>
            <w:textDirection w:val="lrTb"/>
            <w:noWrap/>
          </w:tcPr>
          <w:p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Черкашина Татьяна Григорьевна</w:t>
            </w:r>
            <w:r/>
          </w:p>
        </w:tc>
        <w:tc>
          <w:tcPr>
            <w:tcW w:w="6944" w:type="dxa"/>
            <w:textDirection w:val="lrTb"/>
            <w:noWrap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Крутологского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секретарь рабочей группы по подготовке и проведению  публичных слушаний</w:t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Члены рабочей группы:</w:t>
            </w:r>
            <w:r/>
          </w:p>
        </w:tc>
      </w:tr>
      <w:tr>
        <w:trPr>
          <w:trHeight w:val="322"/>
        </w:trPr>
        <w:tc>
          <w:tcPr>
            <w:tcW w:w="2693" w:type="dxa"/>
            <w:vMerge w:val="restart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Выходцева Инна Александровна</w:t>
            </w:r>
            <w:r/>
          </w:p>
        </w:tc>
        <w:tc>
          <w:tcPr>
            <w:tcW w:w="6944" w:type="dxa"/>
            <w:vMerge w:val="restart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постоянной комиссии земского собрания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Крутологского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поселения по бюджету, финансовой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налоговой политике</w:t>
            </w:r>
            <w:r/>
          </w:p>
        </w:tc>
      </w:tr>
      <w:tr>
        <w:trPr>
          <w:trHeight w:val="310"/>
        </w:trPr>
        <w:tc>
          <w:tcPr>
            <w:tcW w:w="2693" w:type="dxa"/>
            <w:vMerge w:val="restart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Вердинян Эрнест Вячеславович</w:t>
            </w:r>
            <w:r/>
          </w:p>
        </w:tc>
        <w:tc>
          <w:tcPr>
            <w:tcW w:w="6944" w:type="dxa"/>
            <w:vMerge w:val="restart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Крутологского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3. У</w:t>
      </w:r>
      <w:r>
        <w:rPr>
          <w:rFonts w:ascii="Tinos" w:hAnsi="Tinos" w:cs="Tinos"/>
          <w:sz w:val="27"/>
          <w:szCs w:val="27"/>
        </w:rPr>
        <w:t xml:space="preserve">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  <w:r>
        <w:rPr>
          <w:rFonts w:ascii="Tinos" w:hAnsi="Tinos" w:cs="Tinos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</w:t>
      </w:r>
      <w:r>
        <w:rPr>
          <w:rFonts w:ascii="Tinos" w:hAnsi="Tinos" w:cs="Tinos"/>
          <w:sz w:val="27"/>
          <w:szCs w:val="27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rFonts w:ascii="Tinos" w:hAnsi="Tinos" w:cs="Tinos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официального сайта органов местного самоуправления </w:t>
      </w:r>
      <w:r>
        <w:rPr>
          <w:rFonts w:ascii="Tinos" w:hAnsi="Tinos" w:cs="Tinos"/>
          <w:sz w:val="27"/>
          <w:szCs w:val="27"/>
        </w:rPr>
        <w:t xml:space="preserve">Крутологского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«Интернет» (</w:t>
      </w:r>
      <w:r>
        <w:rPr>
          <w:rFonts w:ascii="Tinos" w:hAnsi="Tinos" w:cs="Tinos"/>
          <w:sz w:val="27"/>
          <w:szCs w:val="27"/>
        </w:rPr>
        <w:t xml:space="preserve">https://https://krutologskoe-r31.gosweb.gosuslugi.ru)</w:t>
      </w:r>
      <w:r>
        <w:rPr>
          <w:rFonts w:ascii="Tinos" w:hAnsi="Tinos" w:cs="Tinos"/>
          <w:sz w:val="27"/>
          <w:szCs w:val="27"/>
        </w:rPr>
        <w:t xml:space="preserve">: раздел Документы – подраздел «Публичные слушания»;</w:t>
      </w:r>
      <w:r>
        <w:rPr>
          <w:rFonts w:ascii="Tinos" w:hAnsi="Tinos" w:cs="Tinos"/>
        </w:rPr>
      </w:r>
    </w:p>
    <w:p>
      <w:pPr>
        <w:contextualSpacing/>
        <w:ind w:firstLine="709"/>
        <w:jc w:val="both"/>
        <w:spacing w:after="0" w:afterAutospacing="0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направления письма по адресу:</w:t>
      </w:r>
      <w:r>
        <w:rPr>
          <w:rFonts w:ascii="Tinos" w:hAnsi="Tinos" w:cs="Tinos"/>
          <w:sz w:val="27"/>
          <w:szCs w:val="27"/>
        </w:rPr>
        <w:t xml:space="preserve"> Белгородский район, с. Крутой Лог, </w:t>
      </w:r>
      <w:r>
        <w:rPr>
          <w:rFonts w:ascii="Tinos" w:hAnsi="Tinos" w:cs="Tinos"/>
          <w:sz w:val="27"/>
          <w:szCs w:val="27"/>
        </w:rPr>
        <w:br/>
        <w:t xml:space="preserve">ул. Октябрьская</w:t>
      </w:r>
      <w:r>
        <w:rPr>
          <w:rFonts w:ascii="Tinos" w:hAnsi="Tinos" w:cs="Tinos"/>
          <w:sz w:val="27"/>
          <w:szCs w:val="27"/>
        </w:rPr>
        <w:t xml:space="preserve">, д. </w:t>
      </w:r>
      <w:r>
        <w:rPr>
          <w:rFonts w:ascii="Tinos" w:hAnsi="Tinos" w:cs="Tinos"/>
          <w:sz w:val="27"/>
          <w:szCs w:val="27"/>
        </w:rPr>
        <w:t xml:space="preserve">2</w:t>
      </w:r>
      <w:r>
        <w:rPr>
          <w:rFonts w:ascii="Tinos" w:hAnsi="Tinos" w:cs="Tinos"/>
          <w:sz w:val="27"/>
          <w:szCs w:val="27"/>
        </w:rPr>
        <w:t xml:space="preserve">1</w:t>
      </w:r>
      <w:r>
        <w:rPr>
          <w:rFonts w:ascii="Tinos" w:hAnsi="Tinos" w:cs="Tinos"/>
          <w:i/>
          <w:sz w:val="27"/>
          <w:szCs w:val="27"/>
        </w:rPr>
        <w:t xml:space="preserve">; </w:t>
      </w:r>
      <w:r>
        <w:rPr>
          <w:rFonts w:ascii="Tinos" w:hAnsi="Tinos" w:cs="Tinos"/>
          <w:sz w:val="27"/>
          <w:szCs w:val="27"/>
        </w:rPr>
        <w:t xml:space="preserve">ежедневно в рабочие дни с 9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до 13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часов и с 14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до 18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 часов до 18 ноября 202</w:t>
      </w:r>
      <w:r>
        <w:rPr>
          <w:rFonts w:ascii="Tinos" w:hAnsi="Tinos" w:cs="Tinos"/>
          <w:sz w:val="27"/>
          <w:szCs w:val="27"/>
        </w:rPr>
        <w:t xml:space="preserve">4 года,  контактный телефон (4722) 23-22-43</w:t>
      </w:r>
      <w:r>
        <w:rPr>
          <w:rFonts w:ascii="Tinos" w:hAnsi="Tinos" w:cs="Tinos"/>
          <w:sz w:val="27"/>
          <w:szCs w:val="27"/>
        </w:rPr>
        <w:t xml:space="preserve">, электронная почта </w:t>
      </w:r>
      <w:r>
        <w:rPr>
          <w:rFonts w:ascii="Tinos" w:hAnsi="Tinos" w:cs="Tinos"/>
          <w:sz w:val="27"/>
          <w:szCs w:val="27"/>
          <w:lang w:val="en-US"/>
        </w:rPr>
        <w:t xml:space="preserve">adm</w:t>
      </w:r>
      <w:r>
        <w:rPr>
          <w:rFonts w:ascii="Tinos" w:hAnsi="Tinos" w:cs="Tinos"/>
          <w:sz w:val="27"/>
          <w:szCs w:val="27"/>
        </w:rPr>
        <w:t xml:space="preserve">.</w:t>
      </w:r>
      <w:r>
        <w:rPr>
          <w:rFonts w:ascii="Tinos" w:hAnsi="Tinos" w:cs="Tinos"/>
          <w:sz w:val="27"/>
          <w:szCs w:val="27"/>
          <w:lang w:val="en-US"/>
        </w:rPr>
        <w:t xml:space="preserve">krutlog</w:t>
      </w:r>
      <w:r>
        <w:rPr>
          <w:rFonts w:ascii="Tinos" w:hAnsi="Tinos" w:cs="Tinos"/>
          <w:sz w:val="27"/>
          <w:szCs w:val="27"/>
        </w:rPr>
        <w:t xml:space="preserve">@</w:t>
      </w:r>
      <w:r>
        <w:rPr>
          <w:rFonts w:ascii="Tinos" w:hAnsi="Tinos" w:cs="Tinos"/>
          <w:sz w:val="27"/>
          <w:szCs w:val="27"/>
          <w:lang w:val="en-US"/>
        </w:rPr>
        <w:t xml:space="preserve">yandex</w:t>
      </w:r>
      <w:r>
        <w:rPr>
          <w:rFonts w:ascii="Tinos" w:hAnsi="Tinos" w:cs="Tinos"/>
          <w:sz w:val="27"/>
          <w:szCs w:val="27"/>
        </w:rPr>
        <w:t xml:space="preserve">.</w:t>
      </w:r>
      <w:r>
        <w:rPr>
          <w:rFonts w:ascii="Tinos" w:hAnsi="Tinos" w:cs="Tinos"/>
          <w:sz w:val="27"/>
          <w:szCs w:val="27"/>
          <w:lang w:val="en-US"/>
        </w:rPr>
        <w:t xml:space="preserve">ru</w:t>
      </w:r>
      <w:r>
        <w:rPr>
          <w:rFonts w:ascii="Tinos" w:hAnsi="Tinos" w:cs="Tinos"/>
          <w:sz w:val="27"/>
          <w:szCs w:val="27"/>
        </w:rPr>
        <w:t xml:space="preserve"> .</w:t>
      </w:r>
      <w:r>
        <w:rPr>
          <w:rFonts w:ascii="Tinos" w:hAnsi="Tinos" w:cs="Tinos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4) в устной форме в ходе проведения собрания участников публичных слушаний.</w:t>
      </w:r>
      <w:r>
        <w:rPr>
          <w:rFonts w:ascii="Tinos" w:hAnsi="Tinos" w:cs="Tinos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4. Поручить членам рабочей группы по </w:t>
      </w:r>
      <w:r>
        <w:rPr>
          <w:rFonts w:ascii="Tinos" w:hAnsi="Tinos" w:cs="Tinos"/>
          <w:sz w:val="27"/>
          <w:szCs w:val="27"/>
        </w:rPr>
        <w:t xml:space="preserve">подготовке и проведению  публичных слушаний</w:t>
      </w:r>
      <w:r>
        <w:rPr>
          <w:rFonts w:ascii="Tinos" w:hAnsi="Tinos" w:cs="Tinos"/>
          <w:sz w:val="27"/>
          <w:szCs w:val="27"/>
        </w:rPr>
        <w:t xml:space="preserve"> принять меры по созданию необходимых условий для проведения публичных слушаний. </w:t>
      </w:r>
      <w:r>
        <w:rPr>
          <w:rFonts w:ascii="Tinos" w:hAnsi="Tinos" w:cs="Tinos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5. Настоящее решение вступает в силу со дня его опубликования.</w:t>
      </w:r>
      <w:r>
        <w:rPr>
          <w:rFonts w:ascii="Tinos" w:hAnsi="Tinos" w:cs="Tinos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6. Опубликовать настоящее решение в сетевом издании «Знамя31.ру» (znamya31.ru) </w:t>
      </w:r>
      <w:bookmarkStart w:id="0" w:name="_GoBack"/>
      <w:r>
        <w:rPr>
          <w:rFonts w:ascii="Tinos" w:hAnsi="Tinos" w:cs="Tinos"/>
        </w:rPr>
      </w:r>
      <w:bookmarkEnd w:id="0"/>
      <w:r>
        <w:rPr>
          <w:rFonts w:ascii="Tinos" w:hAnsi="Tinos" w:cs="Tinos"/>
          <w:sz w:val="27"/>
          <w:szCs w:val="27"/>
        </w:rPr>
        <w:t xml:space="preserve">и разместить на официальном сайте органов местного самоуправления </w:t>
      </w:r>
      <w:r>
        <w:rPr>
          <w:rFonts w:ascii="Tinos" w:hAnsi="Tinos" w:cs="Tinos"/>
          <w:sz w:val="27"/>
          <w:szCs w:val="27"/>
        </w:rPr>
        <w:t xml:space="preserve">Крутологского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7"/>
          <w:szCs w:val="27"/>
        </w:rPr>
        <w:tab/>
      </w:r>
      <w:r>
        <w:rPr>
          <w:rFonts w:ascii="Tinos" w:hAnsi="Tinos" w:cs="Tinos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7. Контроль за исполнением настоящего решения возложить на постоянную комиссию земского собрания </w:t>
      </w:r>
      <w:r>
        <w:rPr>
          <w:rFonts w:ascii="Tinos" w:hAnsi="Tinos" w:cs="Tinos"/>
          <w:sz w:val="27"/>
          <w:szCs w:val="27"/>
        </w:rPr>
        <w:t xml:space="preserve">Крутологского</w:t>
      </w:r>
      <w:r>
        <w:rPr>
          <w:rFonts w:ascii="Tinos" w:hAnsi="Tinos" w:cs="Tinos"/>
          <w:sz w:val="27"/>
          <w:szCs w:val="27"/>
        </w:rPr>
        <w:t xml:space="preserve"> сельского поселения по вопросам местного самоуправления</w:t>
      </w:r>
      <w:r>
        <w:rPr>
          <w:rFonts w:ascii="Tinos" w:hAnsi="Tinos" w:cs="Tinos"/>
          <w:sz w:val="27"/>
          <w:szCs w:val="27"/>
        </w:rPr>
        <w:t xml:space="preserve">, социальной политике и обществ</w:t>
      </w:r>
      <w:r>
        <w:rPr>
          <w:rFonts w:ascii="Tinos" w:hAnsi="Tinos" w:cs="Tinos"/>
          <w:sz w:val="27"/>
          <w:szCs w:val="27"/>
        </w:rPr>
        <w:t xml:space="preserve">енной безопасности (Тарасенко И.Н.</w:t>
      </w:r>
      <w:r>
        <w:rPr>
          <w:rFonts w:ascii="Tinos" w:hAnsi="Tinos" w:cs="Tinos"/>
          <w:sz w:val="27"/>
          <w:szCs w:val="27"/>
        </w:rPr>
        <w:t xml:space="preserve">).</w:t>
      </w:r>
      <w:r>
        <w:rPr>
          <w:rFonts w:ascii="Tinos" w:hAnsi="Tinos" w:cs="Tino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Глава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Крутологского</w:t>
      </w:r>
      <w:r/>
    </w:p>
    <w:p>
      <w:pPr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О.В. Катунина</w:t>
      </w:r>
      <w:r/>
    </w:p>
    <w:sectPr>
      <w:headerReference w:type="default" r:id="rId9"/>
      <w:footnotePr/>
      <w:endnotePr/>
      <w:type w:val="nextPage"/>
      <w:pgSz w:w="11905" w:h="16838" w:orient="portrait"/>
      <w:pgMar w:top="567" w:right="567" w:bottom="709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64"/>
    <w:link w:val="687"/>
    <w:uiPriority w:val="10"/>
    <w:rPr>
      <w:sz w:val="48"/>
      <w:szCs w:val="48"/>
    </w:rPr>
  </w:style>
  <w:style w:type="character" w:styleId="37">
    <w:name w:val="Subtitle Char"/>
    <w:basedOn w:val="664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176">
    <w:name w:val="Footnote Text Char"/>
    <w:link w:val="827"/>
    <w:uiPriority w:val="99"/>
    <w:rPr>
      <w:sz w:val="18"/>
    </w:rPr>
  </w:style>
  <w:style w:type="character" w:styleId="179">
    <w:name w:val="Endnote Text Char"/>
    <w:link w:val="830"/>
    <w:uiPriority w:val="99"/>
    <w:rPr>
      <w:sz w:val="20"/>
    </w:r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Heading 1"/>
    <w:basedOn w:val="663"/>
    <w:next w:val="663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 w:customStyle="1">
    <w:name w:val="Heading 1 Char"/>
    <w:basedOn w:val="664"/>
    <w:link w:val="667"/>
    <w:uiPriority w:val="9"/>
    <w:rPr>
      <w:rFonts w:ascii="Arial" w:hAnsi="Arial" w:eastAsia="Arial" w:cs="Arial"/>
      <w:sz w:val="40"/>
      <w:szCs w:val="40"/>
    </w:rPr>
  </w:style>
  <w:style w:type="paragraph" w:styleId="669" w:customStyle="1">
    <w:name w:val="Heading 2"/>
    <w:basedOn w:val="663"/>
    <w:next w:val="66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 w:customStyle="1">
    <w:name w:val="Heading 2 Char"/>
    <w:basedOn w:val="664"/>
    <w:link w:val="669"/>
    <w:uiPriority w:val="9"/>
    <w:rPr>
      <w:rFonts w:ascii="Arial" w:hAnsi="Arial" w:eastAsia="Arial" w:cs="Arial"/>
      <w:sz w:val="34"/>
    </w:rPr>
  </w:style>
  <w:style w:type="paragraph" w:styleId="671" w:customStyle="1">
    <w:name w:val="Heading 3"/>
    <w:basedOn w:val="663"/>
    <w:next w:val="66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 w:customStyle="1">
    <w:name w:val="Heading 3 Char"/>
    <w:basedOn w:val="664"/>
    <w:link w:val="671"/>
    <w:uiPriority w:val="9"/>
    <w:rPr>
      <w:rFonts w:ascii="Arial" w:hAnsi="Arial" w:eastAsia="Arial" w:cs="Arial"/>
      <w:sz w:val="30"/>
      <w:szCs w:val="30"/>
    </w:rPr>
  </w:style>
  <w:style w:type="paragraph" w:styleId="673" w:customStyle="1">
    <w:name w:val="Heading 4"/>
    <w:basedOn w:val="663"/>
    <w:next w:val="66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Heading 4 Char"/>
    <w:basedOn w:val="664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 w:customStyle="1">
    <w:name w:val="Heading 5"/>
    <w:basedOn w:val="663"/>
    <w:next w:val="66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5 Char"/>
    <w:basedOn w:val="664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 w:customStyle="1">
    <w:name w:val="Heading 6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78" w:customStyle="1">
    <w:name w:val="Heading 6 Char"/>
    <w:basedOn w:val="664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 w:customStyle="1">
    <w:name w:val="Heading 7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80" w:customStyle="1">
    <w:name w:val="Heading 7 Char"/>
    <w:basedOn w:val="664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 w:customStyle="1">
    <w:name w:val="Heading 8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82" w:customStyle="1">
    <w:name w:val="Heading 8 Char"/>
    <w:basedOn w:val="664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 w:customStyle="1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Heading 9 Char"/>
    <w:basedOn w:val="66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663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after="0" w:line="240" w:lineRule="auto"/>
    </w:pPr>
  </w:style>
  <w:style w:type="paragraph" w:styleId="687">
    <w:name w:val="Title"/>
    <w:basedOn w:val="663"/>
    <w:next w:val="66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Название Знак"/>
    <w:basedOn w:val="664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 w:customStyle="1">
    <w:name w:val="Подзаголовок Знак"/>
    <w:basedOn w:val="664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64"/>
    <w:link w:val="844"/>
    <w:uiPriority w:val="99"/>
  </w:style>
  <w:style w:type="paragraph" w:styleId="696" w:customStyle="1">
    <w:name w:val="Footer"/>
    <w:basedOn w:val="66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64"/>
    <w:link w:val="696"/>
    <w:uiPriority w:val="99"/>
  </w:style>
  <w:style w:type="paragraph" w:styleId="698" w:customStyle="1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9" w:customStyle="1">
    <w:name w:val="Caption Char"/>
    <w:link w:val="696"/>
    <w:uiPriority w:val="99"/>
  </w:style>
  <w:style w:type="table" w:styleId="700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 w:customStyle="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 w:customStyle="1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 w:customStyle="1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563c1" w:themeColor="hyperlink"/>
      <w:u w:val="single"/>
    </w:rPr>
  </w:style>
  <w:style w:type="paragraph" w:styleId="827">
    <w:name w:val="footnote text"/>
    <w:basedOn w:val="663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64"/>
    <w:uiPriority w:val="99"/>
    <w:unhideWhenUsed/>
    <w:rPr>
      <w:vertAlign w:val="superscript"/>
    </w:rPr>
  </w:style>
  <w:style w:type="paragraph" w:styleId="830">
    <w:name w:val="endnote text"/>
    <w:basedOn w:val="663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64"/>
    <w:uiPriority w:val="99"/>
    <w:semiHidden/>
    <w:unhideWhenUsed/>
    <w:rPr>
      <w:vertAlign w:val="superscript"/>
    </w:rPr>
  </w:style>
  <w:style w:type="paragraph" w:styleId="833">
    <w:name w:val="toc 1"/>
    <w:basedOn w:val="663"/>
    <w:next w:val="663"/>
    <w:uiPriority w:val="39"/>
    <w:unhideWhenUsed/>
    <w:pPr>
      <w:spacing w:after="57"/>
    </w:pPr>
  </w:style>
  <w:style w:type="paragraph" w:styleId="834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5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6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7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8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9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40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1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3"/>
    <w:next w:val="663"/>
    <w:uiPriority w:val="99"/>
    <w:unhideWhenUsed/>
    <w:pPr>
      <w:spacing w:after="0"/>
    </w:pPr>
  </w:style>
  <w:style w:type="paragraph" w:styleId="844" w:customStyle="1">
    <w:name w:val="Header"/>
    <w:basedOn w:val="663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64"/>
    <w:link w:val="844"/>
    <w:uiPriority w:val="99"/>
  </w:style>
  <w:style w:type="paragraph" w:styleId="846">
    <w:name w:val="Balloon Text"/>
    <w:basedOn w:val="663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664"/>
    <w:link w:val="84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18</cp:revision>
  <dcterms:created xsi:type="dcterms:W3CDTF">2024-09-30T06:04:00Z</dcterms:created>
  <dcterms:modified xsi:type="dcterms:W3CDTF">2024-10-29T07:55:15Z</dcterms:modified>
</cp:coreProperties>
</file>