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ЖУРАВЛЕВСКОГО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 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семьдесят шестое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четвертого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созыва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83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 29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2024 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290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  <w:t xml:space="preserve">от 22 октября 2024 года № </w:t>
      </w:r>
      <w:r>
        <w:rPr>
          <w:rFonts w:ascii="Times New Roman" w:hAnsi="Times New Roman" w:cs="Times New Roman"/>
          <w:sz w:val="27"/>
          <w:szCs w:val="27"/>
        </w:rPr>
        <w:t xml:space="preserve">137</w:t>
      </w:r>
      <w:r>
        <w:rPr>
          <w:rFonts w:ascii="Times New Roman" w:hAnsi="Times New Roman" w:cs="Times New Roman"/>
          <w:sz w:val="27"/>
          <w:szCs w:val="27"/>
        </w:rPr>
        <w:t xml:space="preserve"> «О выдвижении инициативы о преобразовании всех 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</w:t>
      </w:r>
      <w:r>
        <w:rPr>
          <w:rFonts w:ascii="Times New Roman" w:hAnsi="Times New Roman" w:cs="Times New Roman"/>
          <w:sz w:val="27"/>
          <w:szCs w:val="27"/>
        </w:rPr>
        <w:t xml:space="preserve">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7"/>
          <w:szCs w:val="27"/>
        </w:rPr>
        <w:t xml:space="preserve">Журавлевском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7"/>
          <w:szCs w:val="27"/>
        </w:rPr>
        <w:t xml:space="preserve">Журавлевского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 2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 ноября 2018 года № 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Журавлевского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Земское собрание </w:t>
      </w:r>
      <w:r>
        <w:rPr>
          <w:rFonts w:ascii="Times New Roman" w:hAnsi="Times New Roman" w:cs="Times New Roman"/>
          <w:b/>
          <w:sz w:val="27"/>
          <w:szCs w:val="27"/>
        </w:rPr>
        <w:t xml:space="preserve">Журавлевского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7"/>
          <w:szCs w:val="27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 </w:t>
      </w:r>
      <w:r>
        <w:rPr>
          <w:rFonts w:ascii="Times New Roman" w:hAnsi="Times New Roman" w:cs="Times New Roman"/>
          <w:sz w:val="27"/>
          <w:szCs w:val="27"/>
        </w:rPr>
        <w:t xml:space="preserve">г. Белгород, ул. Мичурина, 56, офис 317.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>
        <w:rPr>
          <w:rFonts w:ascii="Times New Roman" w:hAnsi="Times New Roman" w:cs="Times New Roman"/>
          <w:sz w:val="27"/>
          <w:szCs w:val="27"/>
        </w:rPr>
        <w:t xml:space="preserve">публичных слушаниях 19 ноября 2024 года с 15:00 часов в режиме онлайн, используя ссылку на конференцию: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</w:t>
      </w:r>
      <w:hyperlink r:id="rId12" w:tooltip="https://telemost.yandex.ru/j/61077241942822" w:history="1">
        <w:r>
          <w:rPr>
            <w:rStyle w:val="843"/>
            <w:rFonts w:ascii="Tinos" w:hAnsi="Tinos" w:cs="Tinos"/>
            <w:sz w:val="27"/>
            <w:szCs w:val="27"/>
          </w:rPr>
          <w:t xml:space="preserve">https://telemost.yandex.ru/j/61077241942822</w:t>
        </w:r>
        <w:r>
          <w:rPr>
            <w:rStyle w:val="843"/>
            <w:rFonts w:ascii="Tinos" w:hAnsi="Tinos" w:cs="Tinos"/>
            <w:sz w:val="27"/>
            <w:szCs w:val="27"/>
          </w:rPr>
        </w:r>
        <w:r>
          <w:rPr>
            <w:rStyle w:val="843"/>
          </w:rPr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17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7228"/>
      </w:tblGrid>
      <w:tr>
        <w:trPr/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Фирсов Владимир Григорьевич</w:t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Журавлевского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председатель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рабочей группы по подготовке и проведению публичных слушаний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председательствующий на публи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чных слушаниях</w:t>
            </w:r>
            <w:r/>
          </w:p>
        </w:tc>
      </w:tr>
      <w:tr>
        <w:trPr/>
        <w:tc>
          <w:tcPr>
            <w:tcW w:w="2693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Винник Людмила Петровна</w:t>
            </w:r>
            <w:r/>
          </w:p>
        </w:tc>
        <w:tc>
          <w:tcPr>
            <w:tcW w:w="7228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Журавлевского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секретарь рабочей группы по подготовке и проведению  публичных слушаний</w:t>
            </w:r>
            <w:r/>
          </w:p>
        </w:tc>
      </w:tr>
      <w:tr>
        <w:trPr/>
        <w:tc>
          <w:tcPr>
            <w:gridSpan w:val="2"/>
            <w:tcW w:w="9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/>
          </w:p>
        </w:tc>
      </w:tr>
      <w:tr>
        <w:trPr>
          <w:trHeight w:val="322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Свистунова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Нина Владимировна</w:t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комиссии земского собрания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Журавлевского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по бюджету, финансам и налоговой политике</w:t>
            </w:r>
            <w:r/>
          </w:p>
        </w:tc>
      </w:tr>
      <w:tr>
        <w:trPr>
          <w:trHeight w:val="310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Игнатов Александр Геннадьевич</w:t>
            </w:r>
            <w:r/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Журавлевского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официального сайта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Журавлевского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(https://https://mayadm.gosuslugi.ru): раздел Документы – подраздел «Публичные слушания»;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направления письма по адресу: </w:t>
      </w:r>
      <w:r>
        <w:rPr>
          <w:rFonts w:ascii="Times New Roman" w:hAnsi="Times New Roman" w:cs="Times New Roman"/>
          <w:sz w:val="27"/>
          <w:szCs w:val="27"/>
        </w:rPr>
        <w:t xml:space="preserve">г. Белгород, ул. Мичурина, 56, офис </w:t>
      </w:r>
      <w:r>
        <w:rPr>
          <w:rFonts w:ascii="Times New Roman" w:hAnsi="Times New Roman" w:cs="Times New Roman"/>
          <w:sz w:val="27"/>
          <w:szCs w:val="27"/>
        </w:rPr>
        <w:t xml:space="preserve">317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 ежедневно</w:t>
      </w:r>
      <w:r>
        <w:rPr>
          <w:rFonts w:ascii="Tinos" w:hAnsi="Tinos" w:cs="Tinos"/>
          <w:sz w:val="27"/>
          <w:szCs w:val="27"/>
        </w:rPr>
        <w:t xml:space="preserve"> в рабочие дни с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</w:t>
      </w:r>
      <w:r>
        <w:rPr>
          <w:rFonts w:ascii="Tinos" w:hAnsi="Tinos" w:cs="Tinos"/>
          <w:sz w:val="27"/>
          <w:szCs w:val="27"/>
        </w:rPr>
        <w:t xml:space="preserve">7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ноября 2024 года,  контактный телефон </w:t>
      </w:r>
      <w:r>
        <w:rPr>
          <w:rFonts w:ascii="Tinos" w:hAnsi="Tinos" w:cs="Tinos"/>
          <w:sz w:val="27"/>
          <w:szCs w:val="27"/>
        </w:rPr>
        <w:t xml:space="preserve">+7(4722)23-26-03,</w:t>
      </w:r>
      <w:r>
        <w:rPr>
          <w:rFonts w:ascii="Tinos" w:hAnsi="Tinos" w:cs="Tinos"/>
          <w:sz w:val="27"/>
          <w:szCs w:val="27"/>
        </w:rPr>
        <w:t xml:space="preserve"> электронная почта </w:t>
      </w:r>
      <w:r>
        <w:rPr>
          <w:rFonts w:ascii="Tinos" w:hAnsi="Tinos" w:cs="Tinos"/>
          <w:sz w:val="27"/>
          <w:szCs w:val="27"/>
          <w:lang w:val="en-US"/>
        </w:rPr>
        <w:t xml:space="preserve">adm</w:t>
      </w:r>
      <w:r>
        <w:rPr>
          <w:rFonts w:ascii="Tinos" w:hAnsi="Tinos" w:cs="Tinos"/>
          <w:sz w:val="27"/>
          <w:szCs w:val="27"/>
        </w:rPr>
        <w:t xml:space="preserve">-</w:t>
      </w:r>
      <w:r>
        <w:rPr>
          <w:rFonts w:ascii="Tinos" w:hAnsi="Tinos" w:cs="Tinos"/>
          <w:sz w:val="27"/>
          <w:szCs w:val="27"/>
          <w:lang w:val="en-US"/>
        </w:rPr>
        <w:t xml:space="preserve">ghurav</w:t>
      </w:r>
      <w:r>
        <w:rPr>
          <w:rFonts w:ascii="Tinos" w:hAnsi="Tinos" w:cs="Tinos"/>
          <w:sz w:val="27"/>
          <w:szCs w:val="27"/>
        </w:rPr>
        <w:t xml:space="preserve">@</w:t>
      </w:r>
      <w:r>
        <w:rPr>
          <w:rFonts w:ascii="Tinos" w:hAnsi="Tinos" w:cs="Tinos"/>
          <w:sz w:val="27"/>
          <w:szCs w:val="27"/>
          <w:lang w:val="en-US"/>
        </w:rPr>
        <w:t xml:space="preserve">yandex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ru</w:t>
      </w:r>
      <w:r>
        <w:rPr>
          <w:rFonts w:ascii="Tinos" w:hAnsi="Tinos" w:cs="Tinos"/>
          <w:sz w:val="27"/>
          <w:szCs w:val="27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</w:t>
      </w:r>
      <w:r>
        <w:rPr>
          <w:rFonts w:ascii="Times New Roman" w:hAnsi="Times New Roman" w:cs="Times New Roman"/>
          <w:sz w:val="27"/>
          <w:szCs w:val="27"/>
        </w:rPr>
        <w:t xml:space="preserve">подготовке и </w:t>
      </w:r>
      <w:r>
        <w:rPr>
          <w:rFonts w:ascii="Times New Roman" w:hAnsi="Times New Roman" w:cs="Times New Roman"/>
          <w:sz w:val="27"/>
          <w:szCs w:val="27"/>
        </w:rPr>
        <w:t xml:space="preserve">проведению  публичных</w:t>
      </w:r>
      <w:r>
        <w:rPr>
          <w:rFonts w:ascii="Times New Roman" w:hAnsi="Times New Roman" w:cs="Times New Roman"/>
          <w:sz w:val="27"/>
          <w:szCs w:val="27"/>
        </w:rPr>
        <w:t xml:space="preserve">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>
        <w:rPr>
          <w:rFonts w:ascii="Tinos" w:hAnsi="Tinos" w:cs="Tinos"/>
          <w:sz w:val="27"/>
          <w:szCs w:val="27"/>
        </w:rPr>
        <w:t xml:space="preserve">Журавлевского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nos" w:hAnsi="Tinos" w:cs="Tinos"/>
          <w:sz w:val="27"/>
          <w:szCs w:val="27"/>
        </w:rPr>
        <w:t xml:space="preserve"> (</w:t>
      </w:r>
      <w:hyperlink r:id="rId13" w:tooltip="https://zhuravlevskoeposelenie-r31.gosweb.gosuslugi.ru/" w:history="1"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https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://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zhuravlevskoeposelenie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-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r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31.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gosweb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.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gosuslugi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.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 xml:space="preserve">ru</w:t>
        </w:r>
        <w:r>
          <w:rPr>
            <w:rStyle w:val="84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/</w:t>
        </w:r>
      </w:hyperlink>
      <w:r>
        <w:rPr>
          <w:rFonts w:ascii="Times New Roman" w:hAnsi="Times New Roman" w:cs="Times New Roman"/>
          <w:sz w:val="27"/>
          <w:szCs w:val="27"/>
        </w:rPr>
        <w:t xml:space="preserve">).</w:t>
      </w:r>
      <w:r>
        <w:rPr>
          <w:rFonts w:ascii="Times New Roman" w:hAnsi="Times New Roman" w:cs="Times New Roman"/>
          <w:sz w:val="27"/>
          <w:szCs w:val="27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7"/>
          <w:szCs w:val="27"/>
        </w:rPr>
        <w:t xml:space="preserve">Журавлевского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, социальной политике и общественной безопасности (</w:t>
      </w:r>
      <w:r>
        <w:rPr>
          <w:rFonts w:ascii="Times New Roman" w:hAnsi="Times New Roman" w:cs="Times New Roman"/>
          <w:sz w:val="27"/>
          <w:szCs w:val="27"/>
        </w:rPr>
        <w:t xml:space="preserve">Назаренко Е.А</w:t>
      </w:r>
      <w:r>
        <w:rPr>
          <w:rFonts w:ascii="Times New Roman" w:hAnsi="Times New Roman" w:cs="Times New Roman"/>
          <w:sz w:val="27"/>
          <w:szCs w:val="27"/>
        </w:rPr>
        <w:t xml:space="preserve">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Журавлевского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В.Г.Фирсов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851" w:bottom="1134" w:left="1134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0"/>
    <w:link w:val="704"/>
    <w:uiPriority w:val="10"/>
    <w:rPr>
      <w:sz w:val="48"/>
      <w:szCs w:val="48"/>
    </w:rPr>
  </w:style>
  <w:style w:type="character" w:styleId="674">
    <w:name w:val="Subtitle Char"/>
    <w:basedOn w:val="690"/>
    <w:link w:val="706"/>
    <w:uiPriority w:val="11"/>
    <w:rPr>
      <w:sz w:val="24"/>
      <w:szCs w:val="24"/>
    </w:rPr>
  </w:style>
  <w:style w:type="character" w:styleId="675">
    <w:name w:val="Quote Char"/>
    <w:link w:val="708"/>
    <w:uiPriority w:val="29"/>
    <w:rPr>
      <w:i/>
    </w:rPr>
  </w:style>
  <w:style w:type="character" w:styleId="676">
    <w:name w:val="Intense Quote Char"/>
    <w:link w:val="710"/>
    <w:uiPriority w:val="30"/>
    <w:rPr>
      <w:i/>
    </w:rPr>
  </w:style>
  <w:style w:type="character" w:styleId="677">
    <w:name w:val="Caption Char"/>
    <w:basedOn w:val="715"/>
    <w:link w:val="713"/>
    <w:uiPriority w:val="99"/>
  </w:style>
  <w:style w:type="character" w:styleId="678">
    <w:name w:val="Footnote Text Char"/>
    <w:link w:val="844"/>
    <w:uiPriority w:val="99"/>
    <w:rPr>
      <w:sz w:val="18"/>
    </w:rPr>
  </w:style>
  <w:style w:type="character" w:styleId="679">
    <w:name w:val="Endnote Text Char"/>
    <w:link w:val="847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Заголовок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paragraph" w:styleId="713">
    <w:name w:val="Footer"/>
    <w:basedOn w:val="68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0"/>
    <w:uiPriority w:val="99"/>
  </w:style>
  <w:style w:type="paragraph" w:styleId="71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0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0"/>
    <w:uiPriority w:val="99"/>
    <w:unhideWhenUsed/>
    <w:rPr>
      <w:vertAlign w:val="superscript"/>
    </w:rPr>
  </w:style>
  <w:style w:type="paragraph" w:styleId="847">
    <w:name w:val="endnote text"/>
    <w:basedOn w:val="680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0"/>
    <w:uiPriority w:val="99"/>
    <w:semiHidden/>
    <w:unhideWhenUsed/>
    <w:rPr>
      <w:vertAlign w:val="superscript"/>
    </w:rPr>
  </w:style>
  <w:style w:type="paragraph" w:styleId="850">
    <w:name w:val="toc 1"/>
    <w:basedOn w:val="680"/>
    <w:next w:val="680"/>
    <w:uiPriority w:val="39"/>
    <w:unhideWhenUsed/>
    <w:pPr>
      <w:spacing w:after="57"/>
    </w:pPr>
  </w:style>
  <w:style w:type="paragraph" w:styleId="851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2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3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4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5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6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7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8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0"/>
    <w:next w:val="680"/>
    <w:uiPriority w:val="99"/>
    <w:unhideWhenUsed/>
    <w:pPr>
      <w:spacing w:after="0"/>
    </w:pPr>
  </w:style>
  <w:style w:type="paragraph" w:styleId="861">
    <w:name w:val="Header"/>
    <w:basedOn w:val="680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90"/>
    <w:link w:val="861"/>
    <w:uiPriority w:val="99"/>
  </w:style>
  <w:style w:type="paragraph" w:styleId="863">
    <w:name w:val="Balloon Text"/>
    <w:basedOn w:val="680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90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yperlink" Target="https://telemost.yandex.ru/j/61077241942822" TargetMode="External"/><Relationship Id="rId13" Type="http://schemas.openxmlformats.org/officeDocument/2006/relationships/hyperlink" Target="https://zhuravlevskoeposelenie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20</cp:revision>
  <dcterms:created xsi:type="dcterms:W3CDTF">2024-09-30T06:04:00Z</dcterms:created>
  <dcterms:modified xsi:type="dcterms:W3CDTF">2024-10-29T07:35:34Z</dcterms:modified>
</cp:coreProperties>
</file>